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2BA29" w14:textId="77777777" w:rsidR="00784DF7" w:rsidRDefault="00784DF7" w:rsidP="001236E0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531239">
        <w:rPr>
          <w:noProof/>
        </w:rPr>
        <w:drawing>
          <wp:inline distT="0" distB="0" distL="0" distR="0" wp14:anchorId="607E0E2B" wp14:editId="5EF2674E">
            <wp:extent cx="3838851" cy="580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79" cy="5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6D85" w14:textId="77777777" w:rsidR="003C53D9" w:rsidRPr="001236E0" w:rsidRDefault="003C53D9" w:rsidP="001236E0">
      <w:pPr>
        <w:pStyle w:val="Title"/>
        <w:jc w:val="center"/>
        <w:rPr>
          <w:sz w:val="32"/>
          <w:szCs w:val="32"/>
        </w:rPr>
      </w:pPr>
      <w:r w:rsidRPr="00FC760F">
        <w:rPr>
          <w:sz w:val="32"/>
          <w:szCs w:val="32"/>
        </w:rPr>
        <w:t xml:space="preserve">OSHS Project Director </w:t>
      </w:r>
      <w:r w:rsidR="00585882">
        <w:rPr>
          <w:sz w:val="32"/>
          <w:szCs w:val="32"/>
        </w:rPr>
        <w:t>Meeting</w:t>
      </w:r>
    </w:p>
    <w:p w14:paraId="3B824AC1" w14:textId="77777777" w:rsidR="003C53D9" w:rsidRPr="00FC760F" w:rsidRDefault="006570D9" w:rsidP="00FC760F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Pr="00D551AB">
        <w:rPr>
          <w:sz w:val="32"/>
          <w:szCs w:val="32"/>
        </w:rPr>
        <w:t>26,</w:t>
      </w:r>
      <w:r>
        <w:rPr>
          <w:sz w:val="32"/>
          <w:szCs w:val="32"/>
        </w:rPr>
        <w:t xml:space="preserve"> 2016</w:t>
      </w:r>
    </w:p>
    <w:p w14:paraId="107A93E0" w14:textId="77777777" w:rsidR="003C53D9" w:rsidRPr="00FC760F" w:rsidRDefault="003C53D9" w:rsidP="00FC760F">
      <w:pPr>
        <w:pStyle w:val="Title"/>
        <w:jc w:val="center"/>
        <w:rPr>
          <w:sz w:val="32"/>
          <w:szCs w:val="32"/>
        </w:rPr>
      </w:pPr>
      <w:r w:rsidRPr="00FC760F">
        <w:rPr>
          <w:sz w:val="32"/>
          <w:szCs w:val="32"/>
        </w:rPr>
        <w:t>Chicago</w:t>
      </w:r>
      <w:r w:rsidR="007871E7">
        <w:rPr>
          <w:sz w:val="32"/>
          <w:szCs w:val="32"/>
        </w:rPr>
        <w:t>, Illinois</w:t>
      </w:r>
    </w:p>
    <w:p w14:paraId="4987AFF9" w14:textId="77777777" w:rsidR="00DE44E8" w:rsidRDefault="00DE44E8" w:rsidP="00FC760F">
      <w:pPr>
        <w:pStyle w:val="Title"/>
        <w:jc w:val="center"/>
        <w:rPr>
          <w:i/>
          <w:sz w:val="32"/>
          <w:szCs w:val="32"/>
        </w:rPr>
      </w:pPr>
    </w:p>
    <w:p w14:paraId="7576B4C0" w14:textId="77777777" w:rsidR="00AC0DF6" w:rsidRPr="004D26DB" w:rsidRDefault="003C53D9" w:rsidP="00AC0DF6">
      <w:pPr>
        <w:pStyle w:val="Title"/>
        <w:jc w:val="center"/>
        <w:rPr>
          <w:i/>
          <w:sz w:val="32"/>
          <w:szCs w:val="32"/>
        </w:rPr>
      </w:pPr>
      <w:r w:rsidRPr="007871E7">
        <w:rPr>
          <w:i/>
          <w:sz w:val="32"/>
          <w:szCs w:val="32"/>
        </w:rPr>
        <w:t>ESSC Grantee Session</w:t>
      </w:r>
      <w:r w:rsidR="00AC0DF6">
        <w:rPr>
          <w:i/>
          <w:sz w:val="32"/>
          <w:szCs w:val="32"/>
        </w:rPr>
        <w:br/>
      </w:r>
      <w:r w:rsidR="008311EA">
        <w:rPr>
          <w:i/>
          <w:sz w:val="32"/>
          <w:szCs w:val="32"/>
        </w:rPr>
        <w:t>PARTICIPANT</w:t>
      </w:r>
      <w:r w:rsidR="00AC0DF6">
        <w:rPr>
          <w:i/>
          <w:sz w:val="32"/>
          <w:szCs w:val="32"/>
        </w:rPr>
        <w:t xml:space="preserve"> AGENDA</w:t>
      </w:r>
    </w:p>
    <w:p w14:paraId="66012D06" w14:textId="77777777" w:rsidR="003C53D9" w:rsidRDefault="003C53D9" w:rsidP="00A353E9">
      <w:pPr>
        <w:rPr>
          <w:rFonts w:cs="Calibri"/>
          <w:b/>
          <w:i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FC760F" w14:paraId="098F9FB5" w14:textId="77777777" w:rsidTr="00D551AB">
        <w:tc>
          <w:tcPr>
            <w:tcW w:w="1908" w:type="dxa"/>
          </w:tcPr>
          <w:p w14:paraId="56292202" w14:textId="77777777" w:rsidR="00FC760F" w:rsidRDefault="00FC760F" w:rsidP="00D551AB">
            <w:pPr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1:00</w:t>
            </w:r>
            <w:r w:rsidR="00540090">
              <w:rPr>
                <w:rFonts w:cs="Calibri"/>
                <w:b/>
                <w:i/>
                <w:color w:val="000000"/>
              </w:rPr>
              <w:t xml:space="preserve"> – </w:t>
            </w:r>
            <w:r>
              <w:rPr>
                <w:rFonts w:cs="Calibri"/>
                <w:b/>
                <w:i/>
                <w:color w:val="000000"/>
              </w:rPr>
              <w:t>1:15 pm</w:t>
            </w:r>
          </w:p>
        </w:tc>
        <w:tc>
          <w:tcPr>
            <w:tcW w:w="7668" w:type="dxa"/>
          </w:tcPr>
          <w:p w14:paraId="030A96F9" w14:textId="77777777" w:rsidR="00FC760F" w:rsidRDefault="00FC760F" w:rsidP="00D551AB">
            <w:r>
              <w:rPr>
                <w:rFonts w:cs="Calibri"/>
                <w:b/>
                <w:i/>
                <w:color w:val="000000"/>
              </w:rPr>
              <w:t>Welcome</w:t>
            </w:r>
          </w:p>
          <w:p w14:paraId="484E85AE" w14:textId="77777777" w:rsidR="00F60E68" w:rsidRPr="008311EA" w:rsidRDefault="00C808E6" w:rsidP="00C52AD8">
            <w:pPr>
              <w:pStyle w:val="ListParagraph"/>
              <w:numPr>
                <w:ilvl w:val="0"/>
                <w:numId w:val="27"/>
              </w:numPr>
              <w:rPr>
                <w:rFonts w:cs="Calibri"/>
                <w:i/>
              </w:rPr>
            </w:pPr>
            <w:r w:rsidRPr="00974A89">
              <w:rPr>
                <w:rFonts w:cs="Calibri"/>
                <w:i/>
              </w:rPr>
              <w:t xml:space="preserve">Norris Dickard, </w:t>
            </w:r>
            <w:r>
              <w:rPr>
                <w:rFonts w:cs="Calibri"/>
                <w:i/>
              </w:rPr>
              <w:t>Office of Safe and Healthy Students</w:t>
            </w:r>
            <w:r w:rsidR="00784DF7">
              <w:rPr>
                <w:rFonts w:cs="Calibri"/>
                <w:i/>
              </w:rPr>
              <w:t xml:space="preserve">, </w:t>
            </w:r>
            <w:r w:rsidR="00784DF7" w:rsidRPr="00974A89">
              <w:rPr>
                <w:rFonts w:cs="Calibri"/>
                <w:i/>
              </w:rPr>
              <w:t>U</w:t>
            </w:r>
            <w:r w:rsidR="00784DF7">
              <w:rPr>
                <w:rFonts w:cs="Calibri"/>
                <w:i/>
              </w:rPr>
              <w:t>.S. Department of Education</w:t>
            </w:r>
          </w:p>
          <w:p w14:paraId="076B3909" w14:textId="77777777" w:rsidR="00FC760F" w:rsidRDefault="00C808E6" w:rsidP="00784DF7">
            <w:pPr>
              <w:pStyle w:val="ListParagraph"/>
              <w:numPr>
                <w:ilvl w:val="0"/>
                <w:numId w:val="27"/>
              </w:numPr>
              <w:rPr>
                <w:rFonts w:cs="Calibri"/>
                <w:i/>
              </w:rPr>
            </w:pPr>
            <w:r w:rsidRPr="002C2E56">
              <w:rPr>
                <w:rFonts w:cs="Calibri"/>
                <w:i/>
              </w:rPr>
              <w:t>Lisa Harrison, Debbie Little, Loretta McDaniel, and Phyllis Scattergood</w:t>
            </w:r>
            <w:r w:rsidR="00784DF7">
              <w:rPr>
                <w:rFonts w:cs="Calibri"/>
                <w:i/>
              </w:rPr>
              <w:t>; ESSC Project Officers,</w:t>
            </w:r>
            <w:r w:rsidRPr="00784DF7">
              <w:rPr>
                <w:rFonts w:cs="Calibri"/>
                <w:i/>
              </w:rPr>
              <w:t xml:space="preserve"> Office of Safe and Healthy Students,</w:t>
            </w:r>
            <w:r w:rsidR="00784DF7" w:rsidRPr="00784DF7">
              <w:rPr>
                <w:rFonts w:cs="Calibri"/>
                <w:i/>
              </w:rPr>
              <w:t xml:space="preserve"> U.S. Department of Education</w:t>
            </w:r>
            <w:r w:rsidRPr="00784DF7">
              <w:rPr>
                <w:rFonts w:cs="Calibri"/>
                <w:i/>
              </w:rPr>
              <w:t xml:space="preserve"> </w:t>
            </w:r>
          </w:p>
          <w:p w14:paraId="3777CA10" w14:textId="77777777" w:rsidR="006D65A4" w:rsidRPr="006D65A4" w:rsidRDefault="006D65A4" w:rsidP="006D65A4">
            <w:pPr>
              <w:rPr>
                <w:rFonts w:cs="Calibri"/>
                <w:i/>
              </w:rPr>
            </w:pPr>
          </w:p>
        </w:tc>
      </w:tr>
      <w:tr w:rsidR="00FC760F" w14:paraId="6F8A09A8" w14:textId="77777777" w:rsidTr="00D551AB">
        <w:tc>
          <w:tcPr>
            <w:tcW w:w="1908" w:type="dxa"/>
          </w:tcPr>
          <w:p w14:paraId="65EE98B3" w14:textId="77777777" w:rsidR="00FC760F" w:rsidRDefault="00575005" w:rsidP="001A090C">
            <w:pPr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 xml:space="preserve">1:15 – </w:t>
            </w:r>
            <w:r w:rsidR="001A090C">
              <w:rPr>
                <w:rFonts w:cs="Calibri"/>
                <w:b/>
                <w:i/>
                <w:color w:val="000000"/>
              </w:rPr>
              <w:t>2</w:t>
            </w:r>
            <w:r w:rsidR="00406650">
              <w:rPr>
                <w:rFonts w:cs="Calibri"/>
                <w:b/>
                <w:i/>
                <w:color w:val="000000"/>
              </w:rPr>
              <w:t>:</w:t>
            </w:r>
            <w:r w:rsidR="001A090C">
              <w:rPr>
                <w:rFonts w:cs="Calibri"/>
                <w:b/>
                <w:i/>
                <w:color w:val="000000"/>
              </w:rPr>
              <w:t>3</w:t>
            </w:r>
            <w:r w:rsidR="00406650">
              <w:rPr>
                <w:rFonts w:cs="Calibri"/>
                <w:b/>
                <w:i/>
                <w:color w:val="000000"/>
              </w:rPr>
              <w:t>0 pm</w:t>
            </w:r>
          </w:p>
        </w:tc>
        <w:tc>
          <w:tcPr>
            <w:tcW w:w="7668" w:type="dxa"/>
          </w:tcPr>
          <w:p w14:paraId="0D6502D7" w14:textId="77777777" w:rsidR="006C2180" w:rsidRDefault="006C2180" w:rsidP="006C2180">
            <w:pPr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 xml:space="preserve">Session 1: Integrating ESSC into </w:t>
            </w:r>
            <w:r w:rsidR="008F1769">
              <w:rPr>
                <w:rFonts w:cs="Calibri"/>
                <w:b/>
                <w:i/>
                <w:color w:val="000000"/>
              </w:rPr>
              <w:t xml:space="preserve">a High Quality Multi-tiered System of Student Mental Health Support (MTSS) </w:t>
            </w:r>
          </w:p>
          <w:p w14:paraId="772AB696" w14:textId="77777777" w:rsidR="009014FC" w:rsidRPr="00C52AD8" w:rsidRDefault="009014FC" w:rsidP="00C52AD8">
            <w:pPr>
              <w:pStyle w:val="ListParagraph"/>
              <w:numPr>
                <w:ilvl w:val="0"/>
                <w:numId w:val="28"/>
              </w:numPr>
              <w:rPr>
                <w:rFonts w:cs="Calibri"/>
                <w:i/>
                <w:color w:val="000000"/>
              </w:rPr>
            </w:pPr>
            <w:r w:rsidRPr="00C52AD8">
              <w:rPr>
                <w:rFonts w:cs="Calibri"/>
                <w:i/>
                <w:color w:val="000000"/>
              </w:rPr>
              <w:t xml:space="preserve">Greta </w:t>
            </w:r>
            <w:proofErr w:type="spellStart"/>
            <w:r w:rsidRPr="00C52AD8">
              <w:rPr>
                <w:rFonts w:cs="Calibri"/>
                <w:i/>
                <w:color w:val="000000"/>
              </w:rPr>
              <w:t>Colombi</w:t>
            </w:r>
            <w:proofErr w:type="spellEnd"/>
            <w:r w:rsidRPr="00C52AD8">
              <w:rPr>
                <w:rFonts w:cs="Calibri"/>
                <w:i/>
                <w:color w:val="000000"/>
              </w:rPr>
              <w:t>, Deputy Director, NCSSLE (Facilitator)</w:t>
            </w:r>
          </w:p>
          <w:p w14:paraId="3CAB9972" w14:textId="77777777" w:rsidR="009014FC" w:rsidRPr="00C52AD8" w:rsidRDefault="009014FC" w:rsidP="00C52AD8">
            <w:pPr>
              <w:pStyle w:val="ListParagraph"/>
              <w:numPr>
                <w:ilvl w:val="0"/>
                <w:numId w:val="28"/>
              </w:numPr>
              <w:rPr>
                <w:rFonts w:cs="Calibri"/>
                <w:i/>
                <w:color w:val="000000"/>
              </w:rPr>
            </w:pPr>
            <w:r w:rsidRPr="00C52AD8">
              <w:rPr>
                <w:rFonts w:cs="Calibri"/>
                <w:i/>
                <w:color w:val="000000"/>
              </w:rPr>
              <w:t xml:space="preserve">Drs. </w:t>
            </w:r>
            <w:r w:rsidR="00B92504" w:rsidRPr="00C52AD8">
              <w:rPr>
                <w:rFonts w:cs="Calibri"/>
                <w:i/>
                <w:color w:val="000000"/>
              </w:rPr>
              <w:t>Elizabeth Connors</w:t>
            </w:r>
            <w:r w:rsidR="00B92504">
              <w:rPr>
                <w:rFonts w:cs="Calibri"/>
                <w:i/>
                <w:color w:val="000000"/>
              </w:rPr>
              <w:t>,</w:t>
            </w:r>
            <w:r w:rsidR="00B92504" w:rsidRPr="00C52AD8">
              <w:rPr>
                <w:rFonts w:cs="Calibri"/>
                <w:i/>
                <w:color w:val="000000"/>
              </w:rPr>
              <w:t xml:space="preserve"> </w:t>
            </w:r>
            <w:r w:rsidRPr="00C52AD8">
              <w:rPr>
                <w:rFonts w:cs="Calibri"/>
                <w:i/>
                <w:color w:val="000000"/>
              </w:rPr>
              <w:t>Nancy Lever</w:t>
            </w:r>
            <w:r w:rsidR="00B92504">
              <w:rPr>
                <w:rFonts w:cs="Calibri"/>
                <w:i/>
                <w:color w:val="000000"/>
              </w:rPr>
              <w:t>,</w:t>
            </w:r>
            <w:r w:rsidRPr="00C52AD8">
              <w:rPr>
                <w:rFonts w:cs="Calibri"/>
                <w:i/>
                <w:color w:val="000000"/>
              </w:rPr>
              <w:t xml:space="preserve"> and</w:t>
            </w:r>
            <w:r w:rsidR="00B92504">
              <w:rPr>
                <w:rFonts w:cs="Calibri"/>
                <w:i/>
                <w:color w:val="000000"/>
              </w:rPr>
              <w:t xml:space="preserve"> </w:t>
            </w:r>
            <w:r w:rsidR="00B92504" w:rsidRPr="00DE5885">
              <w:rPr>
                <w:rFonts w:cs="Calibri"/>
                <w:i/>
              </w:rPr>
              <w:t>Sharon Stephan</w:t>
            </w:r>
            <w:r w:rsidRPr="00DE5885">
              <w:rPr>
                <w:rFonts w:cs="Calibri"/>
                <w:i/>
              </w:rPr>
              <w:t>,</w:t>
            </w:r>
            <w:r w:rsidRPr="00C52AD8">
              <w:rPr>
                <w:rFonts w:cs="Calibri"/>
                <w:i/>
                <w:color w:val="000000"/>
              </w:rPr>
              <w:t xml:space="preserve"> Center for School Mental Health (Presenters)</w:t>
            </w:r>
          </w:p>
          <w:p w14:paraId="1E2A751F" w14:textId="77777777" w:rsidR="009014FC" w:rsidRDefault="009014FC" w:rsidP="007871E7">
            <w:pPr>
              <w:rPr>
                <w:rFonts w:cs="Calibri"/>
                <w:color w:val="000000"/>
              </w:rPr>
            </w:pPr>
          </w:p>
          <w:p w14:paraId="5DDBDD68" w14:textId="77777777" w:rsidR="008D5907" w:rsidRPr="008311EA" w:rsidRDefault="008311EA" w:rsidP="007871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Participants will be introduced</w:t>
            </w:r>
            <w:r w:rsidR="008F1769">
              <w:rPr>
                <w:rFonts w:cs="Calibri"/>
                <w:color w:val="000000"/>
              </w:rPr>
              <w:t xml:space="preserve"> to the core features of a high quality multi-tiered system of student mental health support (MTSS), and engage in self-assessment of these features for their individual system u</w:t>
            </w:r>
            <w:r w:rsidR="006D65A4">
              <w:rPr>
                <w:rFonts w:cs="Calibri"/>
                <w:color w:val="000000"/>
              </w:rPr>
              <w:t xml:space="preserve">sing </w:t>
            </w:r>
            <w:r w:rsidR="008F1769">
              <w:rPr>
                <w:rFonts w:cs="Calibri"/>
                <w:color w:val="000000"/>
              </w:rPr>
              <w:t xml:space="preserve">the </w:t>
            </w:r>
            <w:r w:rsidR="008F1769">
              <w:rPr>
                <w:rFonts w:cs="Calibri"/>
                <w:i/>
                <w:color w:val="000000"/>
              </w:rPr>
              <w:t>School Health Assessment and Performance Evaluation Systems (SHAPE</w:t>
            </w:r>
            <w:r w:rsidR="006D65A4">
              <w:rPr>
                <w:rFonts w:cs="Calibri"/>
                <w:i/>
                <w:color w:val="000000"/>
              </w:rPr>
              <w:t>)</w:t>
            </w:r>
            <w:r w:rsidR="00C808E6">
              <w:t>. SHAPE’s Quality Assessment tool is</w:t>
            </w:r>
            <w:r>
              <w:t xml:space="preserve"> comprised of</w:t>
            </w:r>
            <w:r>
              <w:rPr>
                <w:rFonts w:cs="Calibri"/>
                <w:color w:val="000000"/>
              </w:rPr>
              <w:t xml:space="preserve"> </w:t>
            </w:r>
            <w:r w:rsidR="008D5907">
              <w:rPr>
                <w:rFonts w:cs="Calibri"/>
                <w:color w:val="000000"/>
              </w:rPr>
              <w:t xml:space="preserve">seven (7) domains of MTSS quality, defined as </w:t>
            </w:r>
            <w:r w:rsidR="008D5907" w:rsidRPr="008311EA">
              <w:rPr>
                <w:rFonts w:cs="Calibri"/>
                <w:i/>
                <w:color w:val="000000"/>
              </w:rPr>
              <w:t>“</w:t>
            </w:r>
            <w:r w:rsidR="008D5907" w:rsidRPr="00500929">
              <w:rPr>
                <w:rFonts w:cs="Calibri"/>
                <w:i/>
                <w:color w:val="000000"/>
              </w:rPr>
              <w:t>the characteristics which contribute to or directly represent the overall standard of services and supports provided in schools, based on established best practices in school mental health research</w:t>
            </w:r>
            <w:r w:rsidR="008D5907" w:rsidRPr="008D5907">
              <w:rPr>
                <w:rFonts w:cs="Calibri"/>
                <w:i/>
                <w:color w:val="000000"/>
              </w:rPr>
              <w:t>, policy</w:t>
            </w:r>
            <w:r w:rsidR="006D65A4">
              <w:rPr>
                <w:rFonts w:cs="Calibri"/>
                <w:i/>
                <w:color w:val="000000"/>
              </w:rPr>
              <w:t>,</w:t>
            </w:r>
            <w:r w:rsidR="008D5907" w:rsidRPr="008D5907">
              <w:rPr>
                <w:rFonts w:cs="Calibri"/>
                <w:i/>
                <w:color w:val="000000"/>
              </w:rPr>
              <w:t xml:space="preserve"> and practice</w:t>
            </w:r>
            <w:r w:rsidR="00C808E6">
              <w:rPr>
                <w:rFonts w:cs="Calibri"/>
                <w:i/>
                <w:color w:val="000000"/>
              </w:rPr>
              <w:t>:</w:t>
            </w:r>
            <w:r>
              <w:rPr>
                <w:rFonts w:cs="Calibri"/>
                <w:i/>
                <w:color w:val="000000"/>
              </w:rPr>
              <w:t>”</w:t>
            </w:r>
          </w:p>
          <w:p w14:paraId="56C9D2FE" w14:textId="77777777" w:rsidR="008F1769" w:rsidRDefault="008F1769" w:rsidP="007871E7">
            <w:pPr>
              <w:rPr>
                <w:rFonts w:cs="Calibri"/>
                <w:color w:val="000000"/>
              </w:rPr>
            </w:pPr>
          </w:p>
          <w:p w14:paraId="17B04FEA" w14:textId="77777777" w:rsidR="008F1769" w:rsidRPr="008F1769" w:rsidRDefault="008F1769" w:rsidP="00500929">
            <w:pPr>
              <w:numPr>
                <w:ilvl w:val="0"/>
                <w:numId w:val="25"/>
              </w:numPr>
              <w:rPr>
                <w:rFonts w:cs="Calibri"/>
                <w:color w:val="000000"/>
              </w:rPr>
            </w:pPr>
            <w:r w:rsidRPr="008F1769">
              <w:rPr>
                <w:rFonts w:cs="Calibri"/>
                <w:color w:val="000000"/>
              </w:rPr>
              <w:t>Teaming</w:t>
            </w:r>
          </w:p>
          <w:p w14:paraId="61F67E3A" w14:textId="77777777" w:rsidR="008F1769" w:rsidRPr="008F1769" w:rsidRDefault="008F1769" w:rsidP="00500929">
            <w:pPr>
              <w:numPr>
                <w:ilvl w:val="0"/>
                <w:numId w:val="25"/>
              </w:numPr>
              <w:rPr>
                <w:rFonts w:cs="Calibri"/>
                <w:color w:val="000000"/>
              </w:rPr>
            </w:pPr>
            <w:r w:rsidRPr="008F1769">
              <w:rPr>
                <w:rFonts w:cs="Calibri"/>
                <w:color w:val="000000"/>
              </w:rPr>
              <w:t>Needs Assessment and Resource Mapping</w:t>
            </w:r>
          </w:p>
          <w:p w14:paraId="48555614" w14:textId="77777777" w:rsidR="008F1769" w:rsidRPr="008F1769" w:rsidRDefault="008F1769" w:rsidP="00500929">
            <w:pPr>
              <w:numPr>
                <w:ilvl w:val="0"/>
                <w:numId w:val="25"/>
              </w:numPr>
              <w:rPr>
                <w:rFonts w:cs="Calibri"/>
                <w:color w:val="000000"/>
              </w:rPr>
            </w:pPr>
            <w:r w:rsidRPr="008F1769">
              <w:rPr>
                <w:rFonts w:cs="Calibri"/>
                <w:color w:val="000000"/>
              </w:rPr>
              <w:t>Screening</w:t>
            </w:r>
          </w:p>
          <w:p w14:paraId="0CD42365" w14:textId="77777777" w:rsidR="008F1769" w:rsidRPr="008F1769" w:rsidRDefault="008F1769" w:rsidP="00500929">
            <w:pPr>
              <w:numPr>
                <w:ilvl w:val="0"/>
                <w:numId w:val="25"/>
              </w:numPr>
              <w:rPr>
                <w:rFonts w:cs="Calibri"/>
                <w:color w:val="000000"/>
              </w:rPr>
            </w:pPr>
            <w:r w:rsidRPr="008F1769">
              <w:rPr>
                <w:rFonts w:cs="Calibri"/>
                <w:color w:val="000000"/>
              </w:rPr>
              <w:t>Evidence-based Supports and Services (Tier 1, 2, 3)</w:t>
            </w:r>
          </w:p>
          <w:p w14:paraId="415EA345" w14:textId="77777777" w:rsidR="008F1769" w:rsidRPr="008F1769" w:rsidRDefault="008F1769" w:rsidP="00500929">
            <w:pPr>
              <w:numPr>
                <w:ilvl w:val="0"/>
                <w:numId w:val="25"/>
              </w:numPr>
              <w:rPr>
                <w:rFonts w:cs="Calibri"/>
                <w:color w:val="000000"/>
              </w:rPr>
            </w:pPr>
            <w:r w:rsidRPr="008F1769">
              <w:rPr>
                <w:rFonts w:cs="Calibri"/>
                <w:color w:val="000000"/>
              </w:rPr>
              <w:t>Evidence-based Implementation</w:t>
            </w:r>
          </w:p>
          <w:p w14:paraId="66AA7624" w14:textId="77777777" w:rsidR="008F1769" w:rsidRPr="008F1769" w:rsidRDefault="008F1769" w:rsidP="00500929">
            <w:pPr>
              <w:numPr>
                <w:ilvl w:val="0"/>
                <w:numId w:val="25"/>
              </w:numPr>
              <w:rPr>
                <w:rFonts w:cs="Calibri"/>
                <w:color w:val="000000"/>
              </w:rPr>
            </w:pPr>
            <w:r w:rsidRPr="008F1769">
              <w:rPr>
                <w:rFonts w:cs="Calibri"/>
                <w:color w:val="000000"/>
              </w:rPr>
              <w:t>Student Outcomes and Data Systems (Tier 1, 2, 3)</w:t>
            </w:r>
          </w:p>
          <w:p w14:paraId="34832862" w14:textId="77777777" w:rsidR="008F1769" w:rsidRPr="008F1769" w:rsidRDefault="008F1769" w:rsidP="00500929">
            <w:pPr>
              <w:numPr>
                <w:ilvl w:val="0"/>
                <w:numId w:val="25"/>
              </w:numPr>
              <w:rPr>
                <w:rFonts w:cs="Calibri"/>
                <w:color w:val="000000"/>
              </w:rPr>
            </w:pPr>
            <w:r w:rsidRPr="008F1769">
              <w:rPr>
                <w:rFonts w:cs="Calibri"/>
                <w:color w:val="000000"/>
              </w:rPr>
              <w:t>Data-Driven Decision Making</w:t>
            </w:r>
          </w:p>
          <w:p w14:paraId="26B10142" w14:textId="77777777" w:rsidR="00FC760F" w:rsidRPr="00151595" w:rsidRDefault="00FC760F" w:rsidP="008311EA">
            <w:pPr>
              <w:rPr>
                <w:rFonts w:cs="Calibri"/>
                <w:b/>
                <w:i/>
                <w:color w:val="000000"/>
              </w:rPr>
            </w:pPr>
          </w:p>
        </w:tc>
      </w:tr>
      <w:tr w:rsidR="00406650" w14:paraId="1BE40CB8" w14:textId="77777777" w:rsidTr="00D551AB">
        <w:tc>
          <w:tcPr>
            <w:tcW w:w="1908" w:type="dxa"/>
          </w:tcPr>
          <w:p w14:paraId="1DA15337" w14:textId="77777777" w:rsidR="00406650" w:rsidRDefault="001A090C" w:rsidP="001A090C">
            <w:pPr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2</w:t>
            </w:r>
            <w:r w:rsidR="00406650">
              <w:rPr>
                <w:rFonts w:cs="Calibri"/>
                <w:b/>
                <w:i/>
                <w:color w:val="000000"/>
              </w:rPr>
              <w:t>:</w:t>
            </w:r>
            <w:r>
              <w:rPr>
                <w:rFonts w:cs="Calibri"/>
                <w:b/>
                <w:i/>
                <w:color w:val="000000"/>
              </w:rPr>
              <w:t>3</w:t>
            </w:r>
            <w:r w:rsidR="00406650">
              <w:rPr>
                <w:rFonts w:cs="Calibri"/>
                <w:b/>
                <w:i/>
                <w:color w:val="000000"/>
              </w:rPr>
              <w:t xml:space="preserve">0 – </w:t>
            </w:r>
            <w:r>
              <w:rPr>
                <w:rFonts w:cs="Calibri"/>
                <w:b/>
                <w:i/>
                <w:color w:val="000000"/>
              </w:rPr>
              <w:t>2</w:t>
            </w:r>
            <w:r w:rsidR="00406650">
              <w:rPr>
                <w:rFonts w:cs="Calibri"/>
                <w:b/>
                <w:i/>
                <w:color w:val="000000"/>
              </w:rPr>
              <w:t>:</w:t>
            </w:r>
            <w:r>
              <w:rPr>
                <w:rFonts w:cs="Calibri"/>
                <w:b/>
                <w:i/>
                <w:color w:val="000000"/>
              </w:rPr>
              <w:t>4</w:t>
            </w:r>
            <w:r w:rsidR="00A924E5">
              <w:rPr>
                <w:rFonts w:cs="Calibri"/>
                <w:b/>
                <w:i/>
                <w:color w:val="000000"/>
              </w:rPr>
              <w:t>5</w:t>
            </w:r>
            <w:r w:rsidR="00406650">
              <w:rPr>
                <w:rFonts w:cs="Calibri"/>
                <w:b/>
                <w:i/>
                <w:color w:val="000000"/>
              </w:rPr>
              <w:t xml:space="preserve"> pm</w:t>
            </w:r>
          </w:p>
        </w:tc>
        <w:tc>
          <w:tcPr>
            <w:tcW w:w="7668" w:type="dxa"/>
          </w:tcPr>
          <w:p w14:paraId="51022F15" w14:textId="77777777" w:rsidR="00406650" w:rsidRDefault="00406650" w:rsidP="00D551AB">
            <w:pPr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Break</w:t>
            </w:r>
          </w:p>
          <w:p w14:paraId="5BD52B1E" w14:textId="77777777" w:rsidR="00C16AC2" w:rsidRDefault="00C16AC2" w:rsidP="00D551AB">
            <w:pPr>
              <w:rPr>
                <w:rFonts w:cs="Calibri"/>
                <w:b/>
                <w:i/>
                <w:color w:val="000000"/>
              </w:rPr>
            </w:pPr>
          </w:p>
        </w:tc>
      </w:tr>
    </w:tbl>
    <w:p w14:paraId="16C8BB20" w14:textId="77777777" w:rsidR="000A4114" w:rsidRDefault="000A41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356530" w14:paraId="35281CF2" w14:textId="77777777" w:rsidTr="00D551AB">
        <w:tc>
          <w:tcPr>
            <w:tcW w:w="1908" w:type="dxa"/>
          </w:tcPr>
          <w:p w14:paraId="2DBF6AA8" w14:textId="77777777" w:rsidR="00356530" w:rsidRDefault="00356530" w:rsidP="001A090C">
            <w:pPr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lastRenderedPageBreak/>
              <w:t>2:45 – 4:00 pm</w:t>
            </w:r>
          </w:p>
        </w:tc>
        <w:tc>
          <w:tcPr>
            <w:tcW w:w="7668" w:type="dxa"/>
          </w:tcPr>
          <w:p w14:paraId="236B7311" w14:textId="77777777" w:rsidR="00356530" w:rsidRDefault="00356530" w:rsidP="00356530">
            <w:pPr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Session 2: Strategies for Sustainability: Addressing Factors YOU Can Control</w:t>
            </w:r>
          </w:p>
          <w:p w14:paraId="6C2A2A51" w14:textId="77777777" w:rsidR="00C808E6" w:rsidRDefault="00C808E6" w:rsidP="00C808E6">
            <w:pPr>
              <w:pStyle w:val="ListParagraph"/>
              <w:numPr>
                <w:ilvl w:val="1"/>
                <w:numId w:val="3"/>
              </w:numPr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Tim Duffey, Training Specialist, NCSSLE (Facilitator)</w:t>
            </w:r>
          </w:p>
          <w:p w14:paraId="28A648C8" w14:textId="77777777" w:rsidR="00C808E6" w:rsidRDefault="00C808E6" w:rsidP="00C808E6">
            <w:pPr>
              <w:pStyle w:val="ListParagraph"/>
              <w:numPr>
                <w:ilvl w:val="1"/>
                <w:numId w:val="3"/>
              </w:numPr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Sandy Williamson, Director, NCSSLE (Subject Matter Expert)</w:t>
            </w:r>
          </w:p>
          <w:p w14:paraId="0E42F51B" w14:textId="77777777" w:rsidR="00C808E6" w:rsidRDefault="00C808E6" w:rsidP="00356530">
            <w:pPr>
              <w:rPr>
                <w:rFonts w:cs="Calibri"/>
                <w:color w:val="000000"/>
              </w:rPr>
            </w:pPr>
          </w:p>
          <w:p w14:paraId="39C1B51F" w14:textId="77777777" w:rsidR="00356530" w:rsidRDefault="0009397E" w:rsidP="0035653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Using</w:t>
            </w:r>
            <w:r w:rsidR="00356530" w:rsidRPr="004D26DB">
              <w:rPr>
                <w:rFonts w:cs="Calibri"/>
                <w:color w:val="000000"/>
              </w:rPr>
              <w:t xml:space="preserve"> </w:t>
            </w:r>
            <w:r w:rsidR="00356530">
              <w:rPr>
                <w:rFonts w:cs="Calibri"/>
                <w:color w:val="000000"/>
              </w:rPr>
              <w:t xml:space="preserve">the Office of Adolescent Health’s </w:t>
            </w:r>
            <w:r w:rsidR="00356530">
              <w:rPr>
                <w:rFonts w:cs="Calibri"/>
                <w:b/>
                <w:i/>
                <w:color w:val="000000"/>
              </w:rPr>
              <w:t>Building Sustainable Programs: The Resource Guide</w:t>
            </w:r>
            <w:r w:rsidR="00356530">
              <w:rPr>
                <w:rFonts w:cs="Calibri"/>
                <w:color w:val="000000"/>
              </w:rPr>
              <w:t xml:space="preserve"> (March 2014), participants will have the opportunity to </w:t>
            </w:r>
            <w:r w:rsidR="00974A89">
              <w:rPr>
                <w:rFonts w:cs="Calibri"/>
                <w:color w:val="000000"/>
              </w:rPr>
              <w:t>address</w:t>
            </w:r>
            <w:r w:rsidR="00356530">
              <w:rPr>
                <w:rFonts w:cs="Calibri"/>
                <w:color w:val="000000"/>
              </w:rPr>
              <w:t xml:space="preserve"> three </w:t>
            </w:r>
            <w:r>
              <w:rPr>
                <w:rFonts w:cs="Calibri"/>
                <w:color w:val="000000"/>
              </w:rPr>
              <w:t>key</w:t>
            </w:r>
            <w:r w:rsidR="00356530">
              <w:rPr>
                <w:rFonts w:cs="Calibri"/>
                <w:color w:val="000000"/>
              </w:rPr>
              <w:t xml:space="preserve"> factors</w:t>
            </w:r>
            <w:r>
              <w:rPr>
                <w:rFonts w:cs="Calibri"/>
                <w:color w:val="000000"/>
              </w:rPr>
              <w:t xml:space="preserve"> impacting program sustainability</w:t>
            </w:r>
            <w:r w:rsidR="00356530">
              <w:rPr>
                <w:rFonts w:cs="Calibri"/>
                <w:color w:val="000000"/>
              </w:rPr>
              <w:t xml:space="preserve"> (</w:t>
            </w:r>
            <w:r w:rsidR="00974A89">
              <w:rPr>
                <w:rFonts w:cs="Calibri"/>
                <w:color w:val="000000"/>
              </w:rPr>
              <w:t>highlighted</w:t>
            </w:r>
            <w:r w:rsidR="00356530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below</w:t>
            </w:r>
            <w:r w:rsidR="00356530">
              <w:rPr>
                <w:rFonts w:cs="Calibri"/>
                <w:color w:val="000000"/>
              </w:rPr>
              <w:t>).</w:t>
            </w:r>
          </w:p>
          <w:p w14:paraId="574E3576" w14:textId="77777777" w:rsidR="00356530" w:rsidRDefault="00356530" w:rsidP="0035653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9"/>
              <w:gridCol w:w="5498"/>
            </w:tblGrid>
            <w:tr w:rsidR="0009397E" w14:paraId="65E24F63" w14:textId="77777777" w:rsidTr="0009397E">
              <w:tc>
                <w:tcPr>
                  <w:tcW w:w="1139" w:type="dxa"/>
                  <w:shd w:val="clear" w:color="auto" w:fill="FFFFFF" w:themeFill="background1"/>
                </w:tcPr>
                <w:p w14:paraId="6E65C97B" w14:textId="77777777" w:rsidR="0009397E" w:rsidRPr="00186FBD" w:rsidRDefault="0009397E" w:rsidP="0009397E">
                  <w:pPr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Factor #</w:t>
                  </w:r>
                </w:p>
              </w:tc>
              <w:tc>
                <w:tcPr>
                  <w:tcW w:w="5498" w:type="dxa"/>
                </w:tcPr>
                <w:p w14:paraId="51EF56D0" w14:textId="77777777" w:rsidR="0009397E" w:rsidRPr="00186FBD" w:rsidRDefault="0009397E" w:rsidP="0009397E">
                  <w:pPr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Description</w:t>
                  </w:r>
                </w:p>
              </w:tc>
            </w:tr>
            <w:tr w:rsidR="0009397E" w14:paraId="09D8250F" w14:textId="77777777" w:rsidTr="0009397E">
              <w:tc>
                <w:tcPr>
                  <w:tcW w:w="1139" w:type="dxa"/>
                </w:tcPr>
                <w:p w14:paraId="360C8366" w14:textId="77777777" w:rsidR="0009397E" w:rsidRDefault="0009397E" w:rsidP="0009397E">
                  <w:pPr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5498" w:type="dxa"/>
                </w:tcPr>
                <w:p w14:paraId="1919B241" w14:textId="77777777" w:rsidR="0009397E" w:rsidRDefault="0009397E" w:rsidP="0009397E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Create an Action Plan</w:t>
                  </w:r>
                </w:p>
              </w:tc>
            </w:tr>
            <w:tr w:rsidR="0009397E" w14:paraId="7B2A6604" w14:textId="77777777" w:rsidTr="0009397E">
              <w:tc>
                <w:tcPr>
                  <w:tcW w:w="1139" w:type="dxa"/>
                </w:tcPr>
                <w:p w14:paraId="441261D4" w14:textId="77777777" w:rsidR="0009397E" w:rsidRDefault="0009397E" w:rsidP="0009397E">
                  <w:pPr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5498" w:type="dxa"/>
                </w:tcPr>
                <w:p w14:paraId="103FD065" w14:textId="77777777" w:rsidR="0009397E" w:rsidRDefault="0009397E" w:rsidP="0009397E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Assess the Environment</w:t>
                  </w:r>
                </w:p>
              </w:tc>
            </w:tr>
            <w:tr w:rsidR="0009397E" w14:paraId="10AB320A" w14:textId="77777777" w:rsidTr="0009397E">
              <w:tc>
                <w:tcPr>
                  <w:tcW w:w="1139" w:type="dxa"/>
                </w:tcPr>
                <w:p w14:paraId="2498918E" w14:textId="77777777" w:rsidR="0009397E" w:rsidRDefault="0009397E" w:rsidP="0009397E">
                  <w:pPr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5498" w:type="dxa"/>
                </w:tcPr>
                <w:p w14:paraId="0C14AFDC" w14:textId="77777777" w:rsidR="0009397E" w:rsidRDefault="0009397E" w:rsidP="0009397E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Be Adaptable</w:t>
                  </w:r>
                </w:p>
              </w:tc>
            </w:tr>
            <w:tr w:rsidR="0009397E" w14:paraId="08277224" w14:textId="77777777" w:rsidTr="0009397E">
              <w:tc>
                <w:tcPr>
                  <w:tcW w:w="1139" w:type="dxa"/>
                </w:tcPr>
                <w:p w14:paraId="12AB5612" w14:textId="77777777" w:rsidR="0009397E" w:rsidRPr="0014422D" w:rsidRDefault="0009397E" w:rsidP="0009397E">
                  <w:pPr>
                    <w:jc w:val="center"/>
                    <w:rPr>
                      <w:rFonts w:cs="Calibri"/>
                      <w:color w:val="000000"/>
                      <w:highlight w:val="yellow"/>
                    </w:rPr>
                  </w:pPr>
                  <w:r w:rsidRPr="0014422D">
                    <w:rPr>
                      <w:rFonts w:cs="Calibri"/>
                      <w:color w:val="000000"/>
                      <w:highlight w:val="yellow"/>
                    </w:rPr>
                    <w:t>4</w:t>
                  </w:r>
                </w:p>
              </w:tc>
              <w:tc>
                <w:tcPr>
                  <w:tcW w:w="5498" w:type="dxa"/>
                </w:tcPr>
                <w:p w14:paraId="52119900" w14:textId="77777777" w:rsidR="0009397E" w:rsidRPr="0014422D" w:rsidRDefault="0009397E" w:rsidP="0009397E">
                  <w:pPr>
                    <w:rPr>
                      <w:rFonts w:cs="Calibri"/>
                      <w:color w:val="000000"/>
                      <w:highlight w:val="yellow"/>
                    </w:rPr>
                  </w:pPr>
                  <w:r w:rsidRPr="0014422D">
                    <w:rPr>
                      <w:rFonts w:cs="Calibri"/>
                      <w:color w:val="000000"/>
                      <w:highlight w:val="yellow"/>
                    </w:rPr>
                    <w:t>Secure Community Support</w:t>
                  </w:r>
                </w:p>
              </w:tc>
            </w:tr>
            <w:tr w:rsidR="0009397E" w14:paraId="4DDD26CC" w14:textId="77777777" w:rsidTr="0009397E">
              <w:tc>
                <w:tcPr>
                  <w:tcW w:w="1139" w:type="dxa"/>
                </w:tcPr>
                <w:p w14:paraId="6C527A16" w14:textId="77777777" w:rsidR="0009397E" w:rsidRPr="00C52AD8" w:rsidRDefault="0009397E" w:rsidP="0009397E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C52AD8"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5498" w:type="dxa"/>
                </w:tcPr>
                <w:p w14:paraId="332281DF" w14:textId="77777777" w:rsidR="0009397E" w:rsidRPr="00C52AD8" w:rsidRDefault="0009397E" w:rsidP="0009397E">
                  <w:pPr>
                    <w:rPr>
                      <w:rFonts w:cs="Calibri"/>
                      <w:color w:val="000000"/>
                    </w:rPr>
                  </w:pPr>
                  <w:r w:rsidRPr="00C52AD8">
                    <w:rPr>
                      <w:rFonts w:cs="Calibri"/>
                      <w:color w:val="000000"/>
                    </w:rPr>
                    <w:t>Integrate Program Services Into Local Infrastructures* (See Session 2, below)</w:t>
                  </w:r>
                </w:p>
              </w:tc>
            </w:tr>
            <w:tr w:rsidR="0009397E" w14:paraId="164BE23E" w14:textId="77777777" w:rsidTr="0009397E">
              <w:tc>
                <w:tcPr>
                  <w:tcW w:w="1139" w:type="dxa"/>
                </w:tcPr>
                <w:p w14:paraId="38263155" w14:textId="77777777" w:rsidR="0009397E" w:rsidRDefault="0009397E" w:rsidP="0009397E">
                  <w:pPr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5498" w:type="dxa"/>
                </w:tcPr>
                <w:p w14:paraId="2C3F5FD3" w14:textId="77777777" w:rsidR="0009397E" w:rsidRDefault="0009397E" w:rsidP="0009397E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Build a Leadership Team</w:t>
                  </w:r>
                </w:p>
              </w:tc>
            </w:tr>
            <w:tr w:rsidR="0009397E" w14:paraId="7B8800BA" w14:textId="77777777" w:rsidTr="0009397E">
              <w:tc>
                <w:tcPr>
                  <w:tcW w:w="1139" w:type="dxa"/>
                </w:tcPr>
                <w:p w14:paraId="78332E06" w14:textId="77777777" w:rsidR="0009397E" w:rsidRPr="0014422D" w:rsidRDefault="0009397E" w:rsidP="0009397E">
                  <w:pPr>
                    <w:jc w:val="center"/>
                    <w:rPr>
                      <w:rFonts w:cs="Calibri"/>
                      <w:color w:val="000000"/>
                      <w:highlight w:val="yellow"/>
                    </w:rPr>
                  </w:pPr>
                  <w:r w:rsidRPr="0014422D">
                    <w:rPr>
                      <w:rFonts w:cs="Calibri"/>
                      <w:color w:val="000000"/>
                      <w:highlight w:val="yellow"/>
                    </w:rPr>
                    <w:t>7</w:t>
                  </w:r>
                </w:p>
              </w:tc>
              <w:tc>
                <w:tcPr>
                  <w:tcW w:w="5498" w:type="dxa"/>
                </w:tcPr>
                <w:p w14:paraId="5E79A3A6" w14:textId="77777777" w:rsidR="0009397E" w:rsidRPr="0014422D" w:rsidRDefault="0009397E" w:rsidP="0009397E">
                  <w:pPr>
                    <w:rPr>
                      <w:rFonts w:cs="Calibri"/>
                      <w:color w:val="000000"/>
                      <w:highlight w:val="yellow"/>
                    </w:rPr>
                  </w:pPr>
                  <w:r w:rsidRPr="0014422D">
                    <w:rPr>
                      <w:rFonts w:cs="Calibri"/>
                      <w:color w:val="000000"/>
                      <w:highlight w:val="yellow"/>
                    </w:rPr>
                    <w:t>Create Strategic Partnerships</w:t>
                  </w:r>
                </w:p>
              </w:tc>
            </w:tr>
            <w:tr w:rsidR="0009397E" w14:paraId="1FBFC33E" w14:textId="77777777" w:rsidTr="0009397E">
              <w:tc>
                <w:tcPr>
                  <w:tcW w:w="1139" w:type="dxa"/>
                </w:tcPr>
                <w:p w14:paraId="2B90CF37" w14:textId="77777777" w:rsidR="0009397E" w:rsidRPr="0014422D" w:rsidRDefault="0009397E" w:rsidP="0009397E">
                  <w:pPr>
                    <w:jc w:val="center"/>
                    <w:rPr>
                      <w:rFonts w:cs="Calibri"/>
                      <w:color w:val="000000"/>
                      <w:highlight w:val="yellow"/>
                    </w:rPr>
                  </w:pPr>
                  <w:r w:rsidRPr="0014422D">
                    <w:rPr>
                      <w:rFonts w:cs="Calibri"/>
                      <w:color w:val="000000"/>
                      <w:highlight w:val="yellow"/>
                    </w:rPr>
                    <w:t>8</w:t>
                  </w:r>
                </w:p>
              </w:tc>
              <w:tc>
                <w:tcPr>
                  <w:tcW w:w="5498" w:type="dxa"/>
                </w:tcPr>
                <w:p w14:paraId="6D6A3D54" w14:textId="77777777" w:rsidR="0009397E" w:rsidRPr="0014422D" w:rsidRDefault="0009397E" w:rsidP="0009397E">
                  <w:pPr>
                    <w:rPr>
                      <w:rFonts w:cs="Calibri"/>
                      <w:color w:val="000000"/>
                      <w:highlight w:val="yellow"/>
                    </w:rPr>
                  </w:pPr>
                  <w:r w:rsidRPr="0014422D">
                    <w:rPr>
                      <w:rFonts w:cs="Calibri"/>
                      <w:color w:val="000000"/>
                      <w:highlight w:val="yellow"/>
                    </w:rPr>
                    <w:t>Secure Diverse Financial Opportunities</w:t>
                  </w:r>
                </w:p>
              </w:tc>
            </w:tr>
          </w:tbl>
          <w:p w14:paraId="1AB1E197" w14:textId="77777777" w:rsidR="00356530" w:rsidRPr="00F43FD9" w:rsidRDefault="00356530" w:rsidP="00C808E6">
            <w:pPr>
              <w:rPr>
                <w:rFonts w:cs="Calibri"/>
                <w:color w:val="000000"/>
              </w:rPr>
            </w:pPr>
          </w:p>
        </w:tc>
      </w:tr>
      <w:tr w:rsidR="00FC760F" w14:paraId="12D1D467" w14:textId="77777777" w:rsidTr="00D551AB">
        <w:tc>
          <w:tcPr>
            <w:tcW w:w="1908" w:type="dxa"/>
          </w:tcPr>
          <w:p w14:paraId="5EEB4781" w14:textId="77777777" w:rsidR="001D5AF1" w:rsidRPr="001D5AF1" w:rsidRDefault="001D5AF1" w:rsidP="001D5AF1">
            <w:pPr>
              <w:rPr>
                <w:rFonts w:cs="Calibri"/>
              </w:rPr>
            </w:pPr>
          </w:p>
          <w:p w14:paraId="032306AB" w14:textId="77777777" w:rsidR="001D5AF1" w:rsidRPr="001A090C" w:rsidRDefault="001A090C" w:rsidP="001D5AF1">
            <w:pPr>
              <w:rPr>
                <w:rFonts w:cs="Calibri"/>
                <w:b/>
                <w:i/>
              </w:rPr>
            </w:pPr>
            <w:r w:rsidRPr="001A090C">
              <w:rPr>
                <w:rFonts w:cs="Calibri"/>
                <w:b/>
                <w:i/>
              </w:rPr>
              <w:t>4:00 – 4:</w:t>
            </w:r>
            <w:r w:rsidR="0009397E">
              <w:rPr>
                <w:rFonts w:cs="Calibri"/>
                <w:b/>
                <w:i/>
              </w:rPr>
              <w:t>0</w:t>
            </w:r>
            <w:r w:rsidRPr="001A090C">
              <w:rPr>
                <w:rFonts w:cs="Calibri"/>
                <w:b/>
                <w:i/>
              </w:rPr>
              <w:t>5</w:t>
            </w:r>
            <w:r>
              <w:rPr>
                <w:rFonts w:cs="Calibri"/>
                <w:b/>
                <w:i/>
              </w:rPr>
              <w:t xml:space="preserve"> pm</w:t>
            </w:r>
          </w:p>
          <w:p w14:paraId="71C389B0" w14:textId="77777777" w:rsidR="001D5AF1" w:rsidRDefault="001D5AF1" w:rsidP="001D5AF1">
            <w:pPr>
              <w:rPr>
                <w:rFonts w:cs="Calibri"/>
              </w:rPr>
            </w:pPr>
          </w:p>
          <w:p w14:paraId="75860E49" w14:textId="77777777" w:rsidR="00FC760F" w:rsidRPr="001A090C" w:rsidRDefault="001A090C" w:rsidP="001D5AF1">
            <w:pPr>
              <w:rPr>
                <w:rFonts w:cs="Calibri"/>
                <w:b/>
                <w:i/>
              </w:rPr>
            </w:pPr>
            <w:r w:rsidRPr="001A090C">
              <w:rPr>
                <w:rFonts w:cs="Calibri"/>
                <w:b/>
                <w:i/>
              </w:rPr>
              <w:t>4:</w:t>
            </w:r>
            <w:r w:rsidR="0009397E">
              <w:rPr>
                <w:rFonts w:cs="Calibri"/>
                <w:b/>
                <w:i/>
              </w:rPr>
              <w:t>0</w:t>
            </w:r>
            <w:r w:rsidRPr="001A090C">
              <w:rPr>
                <w:rFonts w:cs="Calibri"/>
                <w:b/>
                <w:i/>
              </w:rPr>
              <w:t>5 – 4:5</w:t>
            </w:r>
            <w:r w:rsidR="0009397E">
              <w:rPr>
                <w:rFonts w:cs="Calibri"/>
                <w:b/>
                <w:i/>
              </w:rPr>
              <w:t>0</w:t>
            </w:r>
            <w:r>
              <w:rPr>
                <w:rFonts w:cs="Calibri"/>
                <w:b/>
                <w:i/>
              </w:rPr>
              <w:t xml:space="preserve"> pm</w:t>
            </w:r>
          </w:p>
        </w:tc>
        <w:tc>
          <w:tcPr>
            <w:tcW w:w="7668" w:type="dxa"/>
          </w:tcPr>
          <w:p w14:paraId="32DF0646" w14:textId="77777777" w:rsidR="001D5AF1" w:rsidRDefault="001D5AF1" w:rsidP="001D5AF1">
            <w:pPr>
              <w:rPr>
                <w:rFonts w:cs="Calibri"/>
                <w:i/>
                <w:color w:val="000000"/>
              </w:rPr>
            </w:pPr>
          </w:p>
          <w:p w14:paraId="310079BB" w14:textId="77777777" w:rsidR="00705B5E" w:rsidRPr="001A090C" w:rsidRDefault="0009397E" w:rsidP="007871E7">
            <w:pPr>
              <w:rPr>
                <w:rFonts w:eastAsiaTheme="minorHAnsi" w:cs="Calibri"/>
                <w:b/>
                <w:i/>
                <w:color w:val="000000"/>
              </w:rPr>
            </w:pPr>
            <w:r>
              <w:rPr>
                <w:rFonts w:eastAsiaTheme="minorHAnsi" w:cs="Calibri"/>
                <w:b/>
                <w:i/>
                <w:color w:val="000000"/>
              </w:rPr>
              <w:t xml:space="preserve">Transition and Stretch </w:t>
            </w:r>
            <w:r w:rsidR="001A090C" w:rsidRPr="001A090C">
              <w:rPr>
                <w:rFonts w:eastAsiaTheme="minorHAnsi" w:cs="Calibri"/>
                <w:b/>
                <w:i/>
                <w:color w:val="000000"/>
              </w:rPr>
              <w:t>Break</w:t>
            </w:r>
          </w:p>
          <w:p w14:paraId="7A4ACDA7" w14:textId="77777777" w:rsidR="00705B5E" w:rsidRDefault="00705B5E" w:rsidP="007871E7">
            <w:pPr>
              <w:rPr>
                <w:rFonts w:eastAsiaTheme="minorHAnsi" w:cs="Calibri"/>
                <w:i/>
                <w:color w:val="000000"/>
              </w:rPr>
            </w:pPr>
          </w:p>
          <w:p w14:paraId="22C06DE4" w14:textId="77777777" w:rsidR="00E36DD4" w:rsidRDefault="00E36DD4" w:rsidP="001A090C">
            <w:pPr>
              <w:rPr>
                <w:rFonts w:cs="Calibri"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Session 3: Taking Stock of Your ESSC Efforts</w:t>
            </w:r>
            <w:r w:rsidR="00310B3F">
              <w:rPr>
                <w:rFonts w:cs="Calibri"/>
                <w:b/>
                <w:i/>
                <w:color w:val="000000"/>
              </w:rPr>
              <w:t xml:space="preserve"> </w:t>
            </w:r>
            <w:bookmarkStart w:id="0" w:name="_GoBack"/>
            <w:bookmarkEnd w:id="0"/>
          </w:p>
          <w:p w14:paraId="4B447ECC" w14:textId="77777777" w:rsidR="009014FC" w:rsidRPr="00C52AD8" w:rsidRDefault="009014FC" w:rsidP="00C52AD8">
            <w:pPr>
              <w:pStyle w:val="ListParagraph"/>
              <w:numPr>
                <w:ilvl w:val="0"/>
                <w:numId w:val="29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i/>
                <w:color w:val="000000"/>
              </w:rPr>
              <w:t xml:space="preserve">Greta </w:t>
            </w:r>
            <w:proofErr w:type="spellStart"/>
            <w:r>
              <w:rPr>
                <w:rFonts w:cs="Calibri"/>
                <w:i/>
                <w:color w:val="000000"/>
              </w:rPr>
              <w:t>Colombi</w:t>
            </w:r>
            <w:proofErr w:type="spellEnd"/>
            <w:r>
              <w:rPr>
                <w:rFonts w:cs="Calibri"/>
                <w:i/>
                <w:color w:val="000000"/>
              </w:rPr>
              <w:t xml:space="preserve"> and Tim Duffey, NCSSLE (Facilitators)</w:t>
            </w:r>
          </w:p>
          <w:p w14:paraId="1DC13014" w14:textId="77777777" w:rsidR="009014FC" w:rsidRDefault="009014FC" w:rsidP="00310B3F">
            <w:pPr>
              <w:ind w:left="9"/>
              <w:rPr>
                <w:rFonts w:cs="Calibri"/>
                <w:color w:val="000000"/>
              </w:rPr>
            </w:pPr>
          </w:p>
          <w:p w14:paraId="175E2C2F" w14:textId="77777777" w:rsidR="00394C42" w:rsidRPr="007822A4" w:rsidRDefault="007F5449" w:rsidP="00FE1D98">
            <w:pPr>
              <w:rPr>
                <w:rFonts w:cs="Calibri"/>
                <w:color w:val="000000"/>
              </w:rPr>
            </w:pPr>
            <w:r w:rsidRPr="007F5449">
              <w:rPr>
                <w:rFonts w:cs="Calibri"/>
                <w:color w:val="000000"/>
              </w:rPr>
              <w:t>Participants will be provided</w:t>
            </w:r>
            <w:r w:rsidR="00C808E6" w:rsidRPr="007F5449">
              <w:rPr>
                <w:rFonts w:cs="Calibri"/>
                <w:color w:val="000000"/>
              </w:rPr>
              <w:t xml:space="preserve"> an opportunity to reflect on </w:t>
            </w:r>
            <w:r w:rsidRPr="007F5449">
              <w:rPr>
                <w:rFonts w:cs="Calibri"/>
                <w:color w:val="000000"/>
              </w:rPr>
              <w:t xml:space="preserve">their </w:t>
            </w:r>
            <w:r w:rsidR="00C808E6" w:rsidRPr="007F5449">
              <w:rPr>
                <w:rFonts w:cs="Calibri"/>
                <w:color w:val="000000"/>
              </w:rPr>
              <w:t>unique ESSC implementation realities and identify</w:t>
            </w:r>
            <w:r w:rsidR="00FC07D7" w:rsidRPr="007F5449">
              <w:rPr>
                <w:rFonts w:cs="Calibri"/>
                <w:color w:val="000000"/>
              </w:rPr>
              <w:t xml:space="preserve"> remaining challenges and key questions to inform technical assistance needs for the coming fiscal year.</w:t>
            </w:r>
          </w:p>
        </w:tc>
      </w:tr>
      <w:tr w:rsidR="00FC760F" w14:paraId="56257399" w14:textId="77777777" w:rsidTr="00D551AB">
        <w:tc>
          <w:tcPr>
            <w:tcW w:w="1908" w:type="dxa"/>
          </w:tcPr>
          <w:p w14:paraId="16CE3848" w14:textId="77777777" w:rsidR="001D5AF1" w:rsidRDefault="001D5AF1" w:rsidP="00A924E5">
            <w:pPr>
              <w:rPr>
                <w:rFonts w:cs="Calibri"/>
                <w:b/>
                <w:i/>
                <w:color w:val="000000"/>
              </w:rPr>
            </w:pPr>
          </w:p>
          <w:p w14:paraId="0051D2DD" w14:textId="77777777" w:rsidR="00FC760F" w:rsidRPr="00DE44E8" w:rsidRDefault="001A090C" w:rsidP="00A924E5">
            <w:pPr>
              <w:rPr>
                <w:rFonts w:cs="Calibri"/>
                <w:b/>
                <w:i/>
                <w:color w:val="000000"/>
                <w:highlight w:val="yellow"/>
              </w:rPr>
            </w:pPr>
            <w:r>
              <w:rPr>
                <w:rFonts w:cs="Calibri"/>
                <w:b/>
                <w:i/>
                <w:color w:val="000000"/>
              </w:rPr>
              <w:t>4:5</w:t>
            </w:r>
            <w:r w:rsidR="0009397E">
              <w:rPr>
                <w:rFonts w:cs="Calibri"/>
                <w:b/>
                <w:i/>
                <w:color w:val="000000"/>
              </w:rPr>
              <w:t>0</w:t>
            </w:r>
            <w:r w:rsidR="00540090" w:rsidRPr="007871E7">
              <w:rPr>
                <w:rFonts w:cs="Calibri"/>
                <w:b/>
                <w:i/>
                <w:color w:val="000000"/>
              </w:rPr>
              <w:t xml:space="preserve"> – </w:t>
            </w:r>
            <w:r w:rsidR="00FC760F" w:rsidRPr="007871E7">
              <w:rPr>
                <w:rFonts w:cs="Calibri"/>
                <w:b/>
                <w:i/>
                <w:color w:val="000000"/>
              </w:rPr>
              <w:t>5:</w:t>
            </w:r>
            <w:r>
              <w:rPr>
                <w:rFonts w:cs="Calibri"/>
                <w:b/>
                <w:i/>
                <w:color w:val="000000"/>
              </w:rPr>
              <w:t>00</w:t>
            </w:r>
            <w:r w:rsidR="00FC760F" w:rsidRPr="007871E7">
              <w:rPr>
                <w:rFonts w:cs="Calibri"/>
                <w:b/>
                <w:i/>
                <w:color w:val="000000"/>
              </w:rPr>
              <w:t xml:space="preserve"> pm</w:t>
            </w:r>
          </w:p>
        </w:tc>
        <w:tc>
          <w:tcPr>
            <w:tcW w:w="7668" w:type="dxa"/>
          </w:tcPr>
          <w:p w14:paraId="5E131E4F" w14:textId="77777777" w:rsidR="001D5AF1" w:rsidRDefault="001D5AF1" w:rsidP="00D551AB">
            <w:pPr>
              <w:rPr>
                <w:rFonts w:cs="Calibri"/>
                <w:b/>
                <w:i/>
                <w:color w:val="000000"/>
              </w:rPr>
            </w:pPr>
          </w:p>
          <w:p w14:paraId="1E7E951E" w14:textId="77777777" w:rsidR="00FC760F" w:rsidRDefault="00FC760F" w:rsidP="00D551AB">
            <w:pPr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Wrap-up and Closing</w:t>
            </w:r>
          </w:p>
          <w:p w14:paraId="792B6EA5" w14:textId="77777777" w:rsidR="00784DF7" w:rsidRPr="00784DF7" w:rsidRDefault="00784DF7" w:rsidP="00C52AD8">
            <w:pPr>
              <w:pStyle w:val="ListParagraph"/>
              <w:numPr>
                <w:ilvl w:val="0"/>
                <w:numId w:val="30"/>
              </w:numPr>
              <w:rPr>
                <w:rFonts w:cs="Calibri"/>
                <w:i/>
                <w:color w:val="000000"/>
              </w:rPr>
            </w:pPr>
            <w:r w:rsidRPr="002C2E56">
              <w:rPr>
                <w:rFonts w:cs="Calibri"/>
                <w:i/>
              </w:rPr>
              <w:t>Lisa Harrison, Debbie Little, Loretta McDaniel, and Phyllis Scattergood</w:t>
            </w:r>
            <w:r>
              <w:rPr>
                <w:rFonts w:cs="Calibri"/>
                <w:i/>
              </w:rPr>
              <w:t>; ESSC Project Officers,</w:t>
            </w:r>
            <w:r w:rsidRPr="00784DF7">
              <w:rPr>
                <w:rFonts w:cs="Calibri"/>
                <w:i/>
              </w:rPr>
              <w:t xml:space="preserve"> Office of Safe and Healthy Students, U.S. Department of Education </w:t>
            </w:r>
          </w:p>
          <w:p w14:paraId="1240AC7A" w14:textId="77777777" w:rsidR="00FC760F" w:rsidRPr="00C52AD8" w:rsidRDefault="00F60E68" w:rsidP="00C52AD8">
            <w:pPr>
              <w:pStyle w:val="ListParagraph"/>
              <w:numPr>
                <w:ilvl w:val="0"/>
                <w:numId w:val="30"/>
              </w:numPr>
              <w:rPr>
                <w:rFonts w:cs="Calibri"/>
                <w:i/>
                <w:color w:val="000000"/>
              </w:rPr>
            </w:pPr>
            <w:r w:rsidRPr="00C52AD8">
              <w:rPr>
                <w:rFonts w:cs="Calibri"/>
                <w:i/>
                <w:color w:val="000000"/>
              </w:rPr>
              <w:t xml:space="preserve">Greta </w:t>
            </w:r>
            <w:proofErr w:type="spellStart"/>
            <w:r w:rsidRPr="00C52AD8">
              <w:rPr>
                <w:rFonts w:cs="Calibri"/>
                <w:i/>
                <w:color w:val="000000"/>
              </w:rPr>
              <w:t>Colombi</w:t>
            </w:r>
            <w:proofErr w:type="spellEnd"/>
            <w:r w:rsidR="00FC760F" w:rsidRPr="00C52AD8">
              <w:rPr>
                <w:rFonts w:cs="Calibri"/>
                <w:i/>
                <w:color w:val="000000"/>
              </w:rPr>
              <w:t>, NCSSLE</w:t>
            </w:r>
          </w:p>
        </w:tc>
      </w:tr>
    </w:tbl>
    <w:p w14:paraId="75D0A605" w14:textId="77777777" w:rsidR="00C67AF3" w:rsidRDefault="00C67AF3" w:rsidP="00500929">
      <w:pPr>
        <w:rPr>
          <w:rFonts w:cs="Calibri"/>
          <w:i/>
          <w:color w:val="000000"/>
        </w:rPr>
      </w:pPr>
    </w:p>
    <w:sectPr w:rsidR="00C67AF3" w:rsidSect="00082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F9B2" w14:textId="77777777" w:rsidR="00CF2F5E" w:rsidRDefault="00CF2F5E" w:rsidP="00A924E5">
      <w:r>
        <w:separator/>
      </w:r>
    </w:p>
  </w:endnote>
  <w:endnote w:type="continuationSeparator" w:id="0">
    <w:p w14:paraId="7644E67D" w14:textId="77777777" w:rsidR="00CF2F5E" w:rsidRDefault="00CF2F5E" w:rsidP="00A9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C0A4" w14:textId="77777777" w:rsidR="00C808E6" w:rsidRDefault="00C808E6" w:rsidP="001D5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423F0" w14:textId="77777777" w:rsidR="00C808E6" w:rsidRDefault="00C808E6" w:rsidP="001D5A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E1AE" w14:textId="77777777" w:rsidR="00C808E6" w:rsidRDefault="00C808E6" w:rsidP="001D5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5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E7A541" w14:textId="77777777" w:rsidR="00C808E6" w:rsidRDefault="00C808E6" w:rsidP="001D5AF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86B1" w14:textId="77777777" w:rsidR="00C808E6" w:rsidRDefault="00C808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F374" w14:textId="77777777" w:rsidR="00CF2F5E" w:rsidRDefault="00CF2F5E" w:rsidP="00A924E5">
      <w:r>
        <w:separator/>
      </w:r>
    </w:p>
  </w:footnote>
  <w:footnote w:type="continuationSeparator" w:id="0">
    <w:p w14:paraId="6A8FC2B8" w14:textId="77777777" w:rsidR="00CF2F5E" w:rsidRDefault="00CF2F5E" w:rsidP="00A924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CE44" w14:textId="77777777" w:rsidR="00C808E6" w:rsidRDefault="00C808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B55E4" w14:textId="77777777" w:rsidR="00C808E6" w:rsidRDefault="00C808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3115" w14:textId="77777777" w:rsidR="00C808E6" w:rsidRDefault="00C808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pt;height:8pt" o:bullet="t">
        <v:imagedata r:id="rId1" o:title="BD14754_"/>
      </v:shape>
    </w:pict>
  </w:numPicBullet>
  <w:abstractNum w:abstractNumId="0">
    <w:nsid w:val="011A655F"/>
    <w:multiLevelType w:val="multilevel"/>
    <w:tmpl w:val="837A5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F4FB8"/>
    <w:multiLevelType w:val="hybridMultilevel"/>
    <w:tmpl w:val="2318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31AE"/>
    <w:multiLevelType w:val="hybridMultilevel"/>
    <w:tmpl w:val="33F841DE"/>
    <w:lvl w:ilvl="0" w:tplc="422A90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85125"/>
    <w:multiLevelType w:val="hybridMultilevel"/>
    <w:tmpl w:val="5D82A3AE"/>
    <w:lvl w:ilvl="0" w:tplc="422A90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421EB"/>
    <w:multiLevelType w:val="hybridMultilevel"/>
    <w:tmpl w:val="D14E4140"/>
    <w:lvl w:ilvl="0" w:tplc="422A90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B4C20"/>
    <w:multiLevelType w:val="hybridMultilevel"/>
    <w:tmpl w:val="3D14A7C2"/>
    <w:lvl w:ilvl="0" w:tplc="422A90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A97EDF"/>
    <w:multiLevelType w:val="hybridMultilevel"/>
    <w:tmpl w:val="FE28F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62"/>
    <w:multiLevelType w:val="hybridMultilevel"/>
    <w:tmpl w:val="09F6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2A90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2D104B"/>
    <w:multiLevelType w:val="hybridMultilevel"/>
    <w:tmpl w:val="661CAD28"/>
    <w:lvl w:ilvl="0" w:tplc="422A90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9B30C3"/>
    <w:multiLevelType w:val="hybridMultilevel"/>
    <w:tmpl w:val="AA24A854"/>
    <w:lvl w:ilvl="0" w:tplc="4280B3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68B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E6C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68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20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2F6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E10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403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E8E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7441B"/>
    <w:multiLevelType w:val="hybridMultilevel"/>
    <w:tmpl w:val="046E3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24219"/>
    <w:multiLevelType w:val="hybridMultilevel"/>
    <w:tmpl w:val="E340B558"/>
    <w:lvl w:ilvl="0" w:tplc="422A90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D24241"/>
    <w:multiLevelType w:val="hybridMultilevel"/>
    <w:tmpl w:val="E346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9D192B"/>
    <w:multiLevelType w:val="hybridMultilevel"/>
    <w:tmpl w:val="5768A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AF630A"/>
    <w:multiLevelType w:val="hybridMultilevel"/>
    <w:tmpl w:val="75802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2A90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C34865"/>
    <w:multiLevelType w:val="hybridMultilevel"/>
    <w:tmpl w:val="38163584"/>
    <w:lvl w:ilvl="0" w:tplc="783CFA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43A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D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834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C82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A0E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8A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87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C36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C5DB6"/>
    <w:multiLevelType w:val="hybridMultilevel"/>
    <w:tmpl w:val="989C2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2A90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112D8A"/>
    <w:multiLevelType w:val="hybridMultilevel"/>
    <w:tmpl w:val="647EB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943A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D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834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C82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A0E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8A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87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C36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F3495"/>
    <w:multiLevelType w:val="hybridMultilevel"/>
    <w:tmpl w:val="F9D86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46A03"/>
    <w:multiLevelType w:val="hybridMultilevel"/>
    <w:tmpl w:val="8F1A5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32508B"/>
    <w:multiLevelType w:val="hybridMultilevel"/>
    <w:tmpl w:val="479E065C"/>
    <w:lvl w:ilvl="0" w:tplc="6E7C2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65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42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8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C5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E4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29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2C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F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454D6"/>
    <w:multiLevelType w:val="hybridMultilevel"/>
    <w:tmpl w:val="D5E07EC2"/>
    <w:lvl w:ilvl="0" w:tplc="422A90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22A90D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2A71E6"/>
    <w:multiLevelType w:val="hybridMultilevel"/>
    <w:tmpl w:val="AA8A1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568B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E6C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68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20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2F6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E10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403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E8E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714F1"/>
    <w:multiLevelType w:val="hybridMultilevel"/>
    <w:tmpl w:val="4B489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4A2D1F"/>
    <w:multiLevelType w:val="hybridMultilevel"/>
    <w:tmpl w:val="6FF22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406F95"/>
    <w:multiLevelType w:val="hybridMultilevel"/>
    <w:tmpl w:val="F18ABAD6"/>
    <w:lvl w:ilvl="0" w:tplc="04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6">
    <w:nsid w:val="686231FD"/>
    <w:multiLevelType w:val="hybridMultilevel"/>
    <w:tmpl w:val="C2D4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FA02E8"/>
    <w:multiLevelType w:val="hybridMultilevel"/>
    <w:tmpl w:val="76808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3A6B4E"/>
    <w:multiLevelType w:val="hybridMultilevel"/>
    <w:tmpl w:val="B338E9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16528F"/>
    <w:multiLevelType w:val="hybridMultilevel"/>
    <w:tmpl w:val="11D466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2"/>
  </w:num>
  <w:num w:numId="5">
    <w:abstractNumId w:val="26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29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21"/>
  </w:num>
  <w:num w:numId="18">
    <w:abstractNumId w:val="24"/>
  </w:num>
  <w:num w:numId="19">
    <w:abstractNumId w:val="27"/>
  </w:num>
  <w:num w:numId="20">
    <w:abstractNumId w:val="23"/>
  </w:num>
  <w:num w:numId="21">
    <w:abstractNumId w:val="28"/>
  </w:num>
  <w:num w:numId="22">
    <w:abstractNumId w:val="19"/>
  </w:num>
  <w:num w:numId="23">
    <w:abstractNumId w:val="15"/>
  </w:num>
  <w:num w:numId="24">
    <w:abstractNumId w:val="9"/>
  </w:num>
  <w:num w:numId="25">
    <w:abstractNumId w:val="17"/>
  </w:num>
  <w:num w:numId="26">
    <w:abstractNumId w:val="22"/>
  </w:num>
  <w:num w:numId="27">
    <w:abstractNumId w:val="6"/>
  </w:num>
  <w:num w:numId="28">
    <w:abstractNumId w:val="10"/>
  </w:num>
  <w:num w:numId="29">
    <w:abstractNumId w:val="25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E9"/>
    <w:rsid w:val="00030F58"/>
    <w:rsid w:val="0003785D"/>
    <w:rsid w:val="000821BC"/>
    <w:rsid w:val="0009397E"/>
    <w:rsid w:val="000A4114"/>
    <w:rsid w:val="000B550D"/>
    <w:rsid w:val="000B6826"/>
    <w:rsid w:val="000C000B"/>
    <w:rsid w:val="000E0F3F"/>
    <w:rsid w:val="00115CCC"/>
    <w:rsid w:val="001236E0"/>
    <w:rsid w:val="001355FE"/>
    <w:rsid w:val="0014422D"/>
    <w:rsid w:val="00151595"/>
    <w:rsid w:val="001860E9"/>
    <w:rsid w:val="00186FBD"/>
    <w:rsid w:val="001A090C"/>
    <w:rsid w:val="001C2B56"/>
    <w:rsid w:val="001D5AF1"/>
    <w:rsid w:val="001F6183"/>
    <w:rsid w:val="0020793B"/>
    <w:rsid w:val="00215E38"/>
    <w:rsid w:val="00234996"/>
    <w:rsid w:val="002446EB"/>
    <w:rsid w:val="002542D9"/>
    <w:rsid w:val="00285502"/>
    <w:rsid w:val="002C2E56"/>
    <w:rsid w:val="002F42B5"/>
    <w:rsid w:val="00300231"/>
    <w:rsid w:val="00310B3F"/>
    <w:rsid w:val="00321006"/>
    <w:rsid w:val="00353DCA"/>
    <w:rsid w:val="00356530"/>
    <w:rsid w:val="00384998"/>
    <w:rsid w:val="00394C42"/>
    <w:rsid w:val="003B520D"/>
    <w:rsid w:val="003C53D9"/>
    <w:rsid w:val="00406650"/>
    <w:rsid w:val="00412D46"/>
    <w:rsid w:val="00482C3F"/>
    <w:rsid w:val="0049392E"/>
    <w:rsid w:val="004B0C2D"/>
    <w:rsid w:val="004D26DB"/>
    <w:rsid w:val="00500929"/>
    <w:rsid w:val="00503CC3"/>
    <w:rsid w:val="00520AE5"/>
    <w:rsid w:val="00540090"/>
    <w:rsid w:val="00575005"/>
    <w:rsid w:val="00585882"/>
    <w:rsid w:val="00586F39"/>
    <w:rsid w:val="005C6602"/>
    <w:rsid w:val="0061495B"/>
    <w:rsid w:val="006431EC"/>
    <w:rsid w:val="0065320A"/>
    <w:rsid w:val="006570D9"/>
    <w:rsid w:val="00666354"/>
    <w:rsid w:val="00683FB8"/>
    <w:rsid w:val="006C2180"/>
    <w:rsid w:val="006C7DE9"/>
    <w:rsid w:val="006D65A4"/>
    <w:rsid w:val="006E6EBA"/>
    <w:rsid w:val="00705B5E"/>
    <w:rsid w:val="00711DB5"/>
    <w:rsid w:val="00731877"/>
    <w:rsid w:val="00761053"/>
    <w:rsid w:val="007622C7"/>
    <w:rsid w:val="007822A4"/>
    <w:rsid w:val="00784DF7"/>
    <w:rsid w:val="007871E7"/>
    <w:rsid w:val="007A7801"/>
    <w:rsid w:val="007C3EE1"/>
    <w:rsid w:val="007F5449"/>
    <w:rsid w:val="00801482"/>
    <w:rsid w:val="008311EA"/>
    <w:rsid w:val="00854675"/>
    <w:rsid w:val="00876B81"/>
    <w:rsid w:val="008D5907"/>
    <w:rsid w:val="008D644D"/>
    <w:rsid w:val="008E0302"/>
    <w:rsid w:val="008E4824"/>
    <w:rsid w:val="008F0252"/>
    <w:rsid w:val="008F1769"/>
    <w:rsid w:val="009014FC"/>
    <w:rsid w:val="0091658C"/>
    <w:rsid w:val="00974A89"/>
    <w:rsid w:val="00982D49"/>
    <w:rsid w:val="00986461"/>
    <w:rsid w:val="009A5485"/>
    <w:rsid w:val="009A68D6"/>
    <w:rsid w:val="009A7900"/>
    <w:rsid w:val="009B5BDF"/>
    <w:rsid w:val="009F22FC"/>
    <w:rsid w:val="00A25303"/>
    <w:rsid w:val="00A33F56"/>
    <w:rsid w:val="00A353E9"/>
    <w:rsid w:val="00A467AF"/>
    <w:rsid w:val="00A63669"/>
    <w:rsid w:val="00A91CFB"/>
    <w:rsid w:val="00A924E5"/>
    <w:rsid w:val="00AA5295"/>
    <w:rsid w:val="00AB1920"/>
    <w:rsid w:val="00AC0DF6"/>
    <w:rsid w:val="00AC7CF6"/>
    <w:rsid w:val="00AD5905"/>
    <w:rsid w:val="00AE796C"/>
    <w:rsid w:val="00AF5ADA"/>
    <w:rsid w:val="00B31311"/>
    <w:rsid w:val="00B34D57"/>
    <w:rsid w:val="00B4417D"/>
    <w:rsid w:val="00B6197A"/>
    <w:rsid w:val="00B92504"/>
    <w:rsid w:val="00B95030"/>
    <w:rsid w:val="00BB4B79"/>
    <w:rsid w:val="00BC1193"/>
    <w:rsid w:val="00BD7E87"/>
    <w:rsid w:val="00C11436"/>
    <w:rsid w:val="00C16AC2"/>
    <w:rsid w:val="00C35D8E"/>
    <w:rsid w:val="00C426B0"/>
    <w:rsid w:val="00C52AD8"/>
    <w:rsid w:val="00C67AF3"/>
    <w:rsid w:val="00C808E6"/>
    <w:rsid w:val="00CA4D80"/>
    <w:rsid w:val="00CB7095"/>
    <w:rsid w:val="00CC6169"/>
    <w:rsid w:val="00CF1BA4"/>
    <w:rsid w:val="00CF2F5E"/>
    <w:rsid w:val="00D04EF2"/>
    <w:rsid w:val="00D17D9A"/>
    <w:rsid w:val="00D307AD"/>
    <w:rsid w:val="00D30FF9"/>
    <w:rsid w:val="00D551AB"/>
    <w:rsid w:val="00DC6B5C"/>
    <w:rsid w:val="00DE44E8"/>
    <w:rsid w:val="00DE5885"/>
    <w:rsid w:val="00E27EF9"/>
    <w:rsid w:val="00E36DD4"/>
    <w:rsid w:val="00E40781"/>
    <w:rsid w:val="00E717A4"/>
    <w:rsid w:val="00EB4694"/>
    <w:rsid w:val="00EC45B2"/>
    <w:rsid w:val="00EF1E8B"/>
    <w:rsid w:val="00EF4540"/>
    <w:rsid w:val="00EF7C11"/>
    <w:rsid w:val="00F115BB"/>
    <w:rsid w:val="00F1678C"/>
    <w:rsid w:val="00F26CE5"/>
    <w:rsid w:val="00F43FD9"/>
    <w:rsid w:val="00F60E68"/>
    <w:rsid w:val="00FC07D7"/>
    <w:rsid w:val="00FC760F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15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E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3E9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353E9"/>
    <w:pPr>
      <w:ind w:left="720"/>
    </w:pPr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3C53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5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C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C5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3D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3D9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3C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92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4E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924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24E5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1D5A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E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3E9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353E9"/>
    <w:pPr>
      <w:ind w:left="720"/>
    </w:pPr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3C53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5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C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C5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3D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3D9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3C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92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4E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924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24E5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1D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2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173">
          <w:marLeft w:val="720"/>
          <w:marRight w:val="0"/>
          <w:marTop w:val="28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209">
          <w:marLeft w:val="720"/>
          <w:marRight w:val="0"/>
          <w:marTop w:val="28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70">
          <w:marLeft w:val="720"/>
          <w:marRight w:val="0"/>
          <w:marTop w:val="28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883">
          <w:marLeft w:val="720"/>
          <w:marRight w:val="0"/>
          <w:marTop w:val="28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818">
          <w:marLeft w:val="720"/>
          <w:marRight w:val="0"/>
          <w:marTop w:val="28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691">
          <w:marLeft w:val="720"/>
          <w:marRight w:val="0"/>
          <w:marTop w:val="28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9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2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4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5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9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Stephan</dc:creator>
  <cp:lastModifiedBy>Timothy Duffey</cp:lastModifiedBy>
  <cp:revision>4</cp:revision>
  <cp:lastPrinted>2016-09-29T13:28:00Z</cp:lastPrinted>
  <dcterms:created xsi:type="dcterms:W3CDTF">2016-10-19T15:24:00Z</dcterms:created>
  <dcterms:modified xsi:type="dcterms:W3CDTF">2016-10-20T14:23:00Z</dcterms:modified>
</cp:coreProperties>
</file>