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E8" w:rsidRPr="002C5F1E" w:rsidRDefault="000B65E8" w:rsidP="000B65E8">
      <w:pPr>
        <w:pStyle w:val="Default"/>
        <w:jc w:val="center"/>
        <w:rPr>
          <w:color w:val="365F91" w:themeColor="accent1" w:themeShade="BF"/>
          <w:sz w:val="28"/>
          <w:szCs w:val="28"/>
        </w:rPr>
      </w:pPr>
      <w:bookmarkStart w:id="0" w:name="_GoBack"/>
      <w:bookmarkEnd w:id="0"/>
      <w:r w:rsidRPr="002C5F1E">
        <w:rPr>
          <w:b/>
          <w:bCs/>
          <w:color w:val="365F91" w:themeColor="accent1" w:themeShade="BF"/>
          <w:sz w:val="28"/>
          <w:szCs w:val="28"/>
        </w:rPr>
        <w:t>IOWA SAFE AND SUPPORTIVE SCHOOLS INDEX</w:t>
      </w:r>
    </w:p>
    <w:p w:rsidR="000B65E8" w:rsidRDefault="000B65E8" w:rsidP="000B65E8">
      <w:pPr>
        <w:pStyle w:val="Default"/>
        <w:rPr>
          <w:sz w:val="22"/>
          <w:szCs w:val="22"/>
        </w:rPr>
      </w:pPr>
    </w:p>
    <w:p w:rsidR="000B65E8" w:rsidRDefault="000B65E8" w:rsidP="000B65E8">
      <w:pPr>
        <w:pStyle w:val="Default"/>
        <w:ind w:firstLine="720"/>
        <w:rPr>
          <w:sz w:val="22"/>
          <w:szCs w:val="22"/>
        </w:rPr>
      </w:pPr>
      <w:r>
        <w:rPr>
          <w:sz w:val="22"/>
          <w:szCs w:val="22"/>
        </w:rPr>
        <w:t xml:space="preserve">A wealth of school climate research exists regarding risk and protective factors for children and youth. Results are clear – ignoring school safety; student, staff and parent engagement and connectedness to school; and the environment within which all school activities and interactions occur leads to significant deficits in school climate support systems. Even </w:t>
      </w:r>
      <w:r>
        <w:rPr>
          <w:i/>
          <w:iCs/>
          <w:sz w:val="22"/>
          <w:szCs w:val="22"/>
        </w:rPr>
        <w:t xml:space="preserve">with significant investments in curriculum and instruction, Iowa’s trend lines for reading and math are essentially flat and achievement gaps for poor, minority, disabled, and English Language Learners are not closing. Therefore </w:t>
      </w:r>
      <w:r>
        <w:rPr>
          <w:sz w:val="22"/>
          <w:szCs w:val="22"/>
        </w:rPr>
        <w:t xml:space="preserve">it is essential to identify measures that provide critical data on indicators of school climate that either promote conditions for learning or remediate barriers to learning. Nationally, policy is supportive of state measurement systems for conditions for learning that are equally as robust as those linked to student academic achievement in core content areas. As achievement across the country begins to hit a ceiling, educators and policy-makers are starting to understand the clear link between academic achievement and students’ strong connection and engagement to learning that is maximized within a safe and supportive environment – an environment that includes not only students, but parents as well as all school personnel. </w:t>
      </w:r>
    </w:p>
    <w:p w:rsidR="000B65E8" w:rsidRDefault="000B65E8" w:rsidP="000B65E8">
      <w:pPr>
        <w:pStyle w:val="Default"/>
        <w:rPr>
          <w:sz w:val="22"/>
          <w:szCs w:val="22"/>
        </w:rPr>
      </w:pPr>
    </w:p>
    <w:p w:rsidR="000B65E8" w:rsidRDefault="000B65E8" w:rsidP="000B65E8">
      <w:pPr>
        <w:pStyle w:val="Default"/>
        <w:ind w:firstLine="720"/>
        <w:rPr>
          <w:sz w:val="22"/>
          <w:szCs w:val="22"/>
        </w:rPr>
      </w:pPr>
      <w:r>
        <w:rPr>
          <w:sz w:val="22"/>
          <w:szCs w:val="22"/>
        </w:rPr>
        <w:t>Iowa Safe and Supportive Schools (IS</w:t>
      </w:r>
      <w:r>
        <w:rPr>
          <w:sz w:val="14"/>
          <w:szCs w:val="14"/>
        </w:rPr>
        <w:t>3</w:t>
      </w:r>
      <w:r>
        <w:rPr>
          <w:sz w:val="22"/>
          <w:szCs w:val="22"/>
        </w:rPr>
        <w:t>) is the first step in understanding optimal conditions for learning and leveraging resources toward maximum benefit for students, their families and the school personnel who support them. Supported by the U.S. Department of Education at nearly $14 million dollars over four years, IS</w:t>
      </w:r>
      <w:r>
        <w:rPr>
          <w:sz w:val="14"/>
          <w:szCs w:val="14"/>
        </w:rPr>
        <w:t xml:space="preserve">3 </w:t>
      </w:r>
      <w:r>
        <w:rPr>
          <w:sz w:val="22"/>
          <w:szCs w:val="22"/>
        </w:rPr>
        <w:t xml:space="preserve">is charged with three major goals: </w:t>
      </w:r>
    </w:p>
    <w:p w:rsidR="000B65E8" w:rsidRDefault="000B65E8" w:rsidP="000B65E8">
      <w:pPr>
        <w:pStyle w:val="Default"/>
        <w:ind w:firstLine="720"/>
        <w:rPr>
          <w:sz w:val="22"/>
          <w:szCs w:val="22"/>
        </w:rPr>
      </w:pPr>
    </w:p>
    <w:p w:rsidR="000B65E8" w:rsidRDefault="000B65E8" w:rsidP="000B65E8">
      <w:pPr>
        <w:pStyle w:val="Default"/>
        <w:spacing w:after="284"/>
        <w:ind w:left="720"/>
        <w:rPr>
          <w:sz w:val="22"/>
          <w:szCs w:val="22"/>
        </w:rPr>
      </w:pPr>
      <w:r>
        <w:rPr>
          <w:sz w:val="22"/>
          <w:szCs w:val="22"/>
        </w:rPr>
        <w:t xml:space="preserve">1. Support statewide measurement of conditions for learning through valid and reliable measures of school safety, engagement and environment across high school students (9-12), school staff, and parents; </w:t>
      </w:r>
    </w:p>
    <w:p w:rsidR="000B65E8" w:rsidRDefault="000B65E8" w:rsidP="000B65E8">
      <w:pPr>
        <w:pStyle w:val="Default"/>
        <w:spacing w:after="284"/>
        <w:ind w:left="720"/>
        <w:rPr>
          <w:sz w:val="22"/>
          <w:szCs w:val="22"/>
        </w:rPr>
      </w:pPr>
      <w:r>
        <w:rPr>
          <w:sz w:val="22"/>
          <w:szCs w:val="22"/>
        </w:rPr>
        <w:t xml:space="preserve">2. Establish an index that defines threshold criteria to identify schools that have/lack optimal conditions for learning, and </w:t>
      </w:r>
    </w:p>
    <w:p w:rsidR="000B65E8" w:rsidRDefault="000B65E8" w:rsidP="000B65E8">
      <w:pPr>
        <w:pStyle w:val="Default"/>
        <w:ind w:left="720"/>
        <w:rPr>
          <w:sz w:val="22"/>
          <w:szCs w:val="22"/>
        </w:rPr>
      </w:pPr>
      <w:r>
        <w:rPr>
          <w:sz w:val="22"/>
          <w:szCs w:val="22"/>
        </w:rPr>
        <w:t xml:space="preserve">3. Implement targeted programmatic interventions in order to help schools improve conditions for learning. </w:t>
      </w:r>
    </w:p>
    <w:p w:rsidR="000B65E8" w:rsidRDefault="000B65E8" w:rsidP="000B65E8">
      <w:pPr>
        <w:pStyle w:val="Default"/>
        <w:rPr>
          <w:sz w:val="22"/>
          <w:szCs w:val="22"/>
        </w:rPr>
      </w:pPr>
    </w:p>
    <w:p w:rsidR="000B65E8" w:rsidRDefault="000B65E8" w:rsidP="000B65E8">
      <w:pPr>
        <w:pStyle w:val="Default"/>
        <w:ind w:firstLine="720"/>
        <w:rPr>
          <w:sz w:val="16"/>
          <w:szCs w:val="16"/>
        </w:rPr>
      </w:pPr>
      <w:r>
        <w:rPr>
          <w:sz w:val="22"/>
          <w:szCs w:val="22"/>
        </w:rPr>
        <w:t xml:space="preserve">The statewide measurement of conditions for learning in the areas of safety, engagement and environment will be obtained by adapting the Iowa Youth Survey. To accomplish this, 60 schools were randomly selected and invited to implement the survey of conditions for learning adapted from the Iowa Youth Survey, as well as implement the Comprehensive School Climate Inventory (CSCI). </w:t>
      </w:r>
    </w:p>
    <w:p w:rsidR="000B65E8" w:rsidRDefault="000B65E8" w:rsidP="000B65E8">
      <w:pPr>
        <w:pStyle w:val="Default"/>
        <w:pageBreakBefore/>
        <w:ind w:firstLine="720"/>
        <w:rPr>
          <w:sz w:val="22"/>
          <w:szCs w:val="22"/>
        </w:rPr>
      </w:pPr>
      <w:r>
        <w:rPr>
          <w:sz w:val="22"/>
          <w:szCs w:val="22"/>
        </w:rPr>
        <w:lastRenderedPageBreak/>
        <w:t xml:space="preserve">Developed by the National School Climate Center (NSCC), the CSCI is a nationally recognized, valid and reliable measure of school climate across safety, engagement and environment, implemented with students, parents and all school staff. Forty-seven of the 60 randomly selected schools accepted the invitation to participate and implemented the surveys in </w:t>
      </w:r>
      <w:proofErr w:type="gramStart"/>
      <w:r>
        <w:rPr>
          <w:sz w:val="22"/>
          <w:szCs w:val="22"/>
        </w:rPr>
        <w:t>Spring</w:t>
      </w:r>
      <w:proofErr w:type="gramEnd"/>
      <w:r>
        <w:rPr>
          <w:sz w:val="22"/>
          <w:szCs w:val="22"/>
        </w:rPr>
        <w:t xml:space="preserve"> 2011. The index, which Iowa has named the Iowa Safe and Supportive Schools Index (IS</w:t>
      </w:r>
      <w:r>
        <w:rPr>
          <w:sz w:val="14"/>
          <w:szCs w:val="14"/>
        </w:rPr>
        <w:t xml:space="preserve">3 </w:t>
      </w:r>
      <w:r>
        <w:rPr>
          <w:sz w:val="22"/>
          <w:szCs w:val="22"/>
        </w:rPr>
        <w:t xml:space="preserve">Index), includes student results of the IYS and CSCI, as well as other identified data elements. Parent and school staff results will be incorporated into the Index subsequent to grant completion. </w:t>
      </w:r>
    </w:p>
    <w:p w:rsidR="000B65E8" w:rsidRDefault="000B65E8" w:rsidP="000B65E8">
      <w:pPr>
        <w:pStyle w:val="Default"/>
        <w:rPr>
          <w:sz w:val="22"/>
          <w:szCs w:val="22"/>
        </w:rPr>
      </w:pPr>
    </w:p>
    <w:p w:rsidR="000B65E8" w:rsidRDefault="000B65E8" w:rsidP="000B65E8">
      <w:pPr>
        <w:pStyle w:val="Default"/>
        <w:ind w:firstLine="720"/>
        <w:rPr>
          <w:sz w:val="22"/>
          <w:szCs w:val="22"/>
        </w:rPr>
      </w:pPr>
      <w:r>
        <w:rPr>
          <w:sz w:val="22"/>
          <w:szCs w:val="22"/>
        </w:rPr>
        <w:t>The IS</w:t>
      </w:r>
      <w:r>
        <w:rPr>
          <w:sz w:val="14"/>
          <w:szCs w:val="14"/>
        </w:rPr>
        <w:t xml:space="preserve">3 </w:t>
      </w:r>
      <w:r>
        <w:rPr>
          <w:sz w:val="22"/>
          <w:szCs w:val="22"/>
        </w:rPr>
        <w:t>Index is an indicator (or reflection) of the health of a school’s optimal conditions for learning in the areas of safety, engagement and environment. The IS</w:t>
      </w:r>
      <w:r>
        <w:rPr>
          <w:sz w:val="14"/>
          <w:szCs w:val="14"/>
        </w:rPr>
        <w:t xml:space="preserve">3 </w:t>
      </w:r>
      <w:r>
        <w:rPr>
          <w:sz w:val="22"/>
          <w:szCs w:val="22"/>
        </w:rPr>
        <w:t>Index was used to determine which schools would receive IS</w:t>
      </w:r>
      <w:r>
        <w:rPr>
          <w:sz w:val="14"/>
          <w:szCs w:val="14"/>
        </w:rPr>
        <w:t xml:space="preserve">3 </w:t>
      </w:r>
      <w:r>
        <w:rPr>
          <w:sz w:val="22"/>
          <w:szCs w:val="22"/>
        </w:rPr>
        <w:t xml:space="preserve">grant funding over the next three years to improve the overall health of their school’s conditions for learning. The Index will be continually monitored to inform the selection and evaluation of programmatic interventions, and final outcomes of Iowa’s work. </w:t>
      </w:r>
    </w:p>
    <w:p w:rsidR="000B65E8" w:rsidRDefault="000B65E8" w:rsidP="000B65E8">
      <w:pPr>
        <w:pStyle w:val="Default"/>
        <w:rPr>
          <w:rFonts w:ascii="Cambria" w:hAnsi="Cambria" w:cs="Cambria"/>
          <w:b/>
          <w:bCs/>
          <w:sz w:val="28"/>
          <w:szCs w:val="28"/>
        </w:rPr>
      </w:pPr>
    </w:p>
    <w:p w:rsidR="000B65E8" w:rsidRPr="002C5F1E" w:rsidRDefault="000B65E8" w:rsidP="000B65E8">
      <w:pPr>
        <w:pStyle w:val="Default"/>
        <w:rPr>
          <w:rFonts w:ascii="Cambria" w:hAnsi="Cambria" w:cs="Cambria"/>
          <w:color w:val="365F91" w:themeColor="accent1" w:themeShade="BF"/>
          <w:sz w:val="28"/>
          <w:szCs w:val="28"/>
        </w:rPr>
      </w:pPr>
      <w:r w:rsidRPr="002C5F1E">
        <w:rPr>
          <w:rFonts w:ascii="Cambria" w:hAnsi="Cambria" w:cs="Cambria"/>
          <w:b/>
          <w:bCs/>
          <w:color w:val="365F91" w:themeColor="accent1" w:themeShade="BF"/>
          <w:sz w:val="28"/>
          <w:szCs w:val="28"/>
        </w:rPr>
        <w:t>IS</w:t>
      </w:r>
      <w:r w:rsidRPr="002C5F1E">
        <w:rPr>
          <w:rFonts w:ascii="Cambria" w:hAnsi="Cambria" w:cs="Cambria"/>
          <w:b/>
          <w:bCs/>
          <w:color w:val="365F91" w:themeColor="accent1" w:themeShade="BF"/>
          <w:sz w:val="18"/>
          <w:szCs w:val="18"/>
        </w:rPr>
        <w:t xml:space="preserve">3 </w:t>
      </w:r>
      <w:r w:rsidRPr="002C5F1E">
        <w:rPr>
          <w:rFonts w:ascii="Cambria" w:hAnsi="Cambria" w:cs="Cambria"/>
          <w:b/>
          <w:bCs/>
          <w:color w:val="365F91" w:themeColor="accent1" w:themeShade="BF"/>
          <w:sz w:val="28"/>
          <w:szCs w:val="28"/>
        </w:rPr>
        <w:t xml:space="preserve">Index </w:t>
      </w:r>
    </w:p>
    <w:p w:rsidR="000B65E8" w:rsidRDefault="000B65E8" w:rsidP="000B65E8">
      <w:pPr>
        <w:pStyle w:val="Default"/>
        <w:rPr>
          <w:sz w:val="22"/>
          <w:szCs w:val="22"/>
        </w:rPr>
      </w:pPr>
    </w:p>
    <w:p w:rsidR="000B65E8" w:rsidRDefault="000B65E8" w:rsidP="000B65E8">
      <w:pPr>
        <w:pStyle w:val="Default"/>
        <w:ind w:firstLine="720"/>
        <w:rPr>
          <w:sz w:val="22"/>
          <w:szCs w:val="22"/>
        </w:rPr>
      </w:pPr>
      <w:r>
        <w:rPr>
          <w:sz w:val="22"/>
          <w:szCs w:val="22"/>
        </w:rPr>
        <w:t>The IS</w:t>
      </w:r>
      <w:r>
        <w:rPr>
          <w:sz w:val="14"/>
          <w:szCs w:val="14"/>
        </w:rPr>
        <w:t xml:space="preserve">3 </w:t>
      </w:r>
      <w:r>
        <w:rPr>
          <w:sz w:val="22"/>
          <w:szCs w:val="22"/>
        </w:rPr>
        <w:t>Index must determine the overall conditions for learning within a school based on variables that are within the educational system’s ability to change. For example, a school may change the physical environment to one that is more welcoming and inviting to students, parents and staff; a school may change policies or procedures to support student engagement and learning; a school may institute a program to provide more support for students. However, an educational system is not able to change community demographics or the social-economic status of families served. Therefore such data were not considered in the Index. Data were obtained, cleaned, and analyses run to determine appropriate thresholds for each data element included in the final Index. Student survey results only were included in the Index; future indices will incorporate parent and staff results subsequent to the completion of the grant. Index ranges were based after the Learning Supports framework structured around Response to Intervention. This is a three-tiered model (green, yellow and red) representing Universal, Targeted and Intensive levels of support as shown in Appendix D. The IS</w:t>
      </w:r>
      <w:r>
        <w:rPr>
          <w:sz w:val="14"/>
          <w:szCs w:val="14"/>
        </w:rPr>
        <w:t xml:space="preserve">3 </w:t>
      </w:r>
      <w:r>
        <w:rPr>
          <w:sz w:val="22"/>
          <w:szCs w:val="22"/>
        </w:rPr>
        <w:t xml:space="preserve">Index model includes four tiers of Universal (green), Targeted (yellow), Targeted-to-Intensive (orange) and Intensive (red). </w:t>
      </w:r>
    </w:p>
    <w:p w:rsidR="000B65E8" w:rsidRDefault="000B65E8" w:rsidP="000B65E8">
      <w:pPr>
        <w:pStyle w:val="Default"/>
        <w:rPr>
          <w:sz w:val="22"/>
          <w:szCs w:val="22"/>
        </w:rPr>
      </w:pPr>
    </w:p>
    <w:p w:rsidR="000B65E8" w:rsidRDefault="000B65E8" w:rsidP="000B65E8">
      <w:pPr>
        <w:pStyle w:val="Default"/>
        <w:ind w:firstLine="720"/>
        <w:rPr>
          <w:sz w:val="22"/>
          <w:szCs w:val="22"/>
        </w:rPr>
      </w:pPr>
      <w:r>
        <w:rPr>
          <w:sz w:val="22"/>
          <w:szCs w:val="22"/>
        </w:rPr>
        <w:t>The IS</w:t>
      </w:r>
      <w:r>
        <w:rPr>
          <w:sz w:val="14"/>
          <w:szCs w:val="14"/>
        </w:rPr>
        <w:t xml:space="preserve">3 </w:t>
      </w:r>
      <w:r>
        <w:rPr>
          <w:sz w:val="22"/>
          <w:szCs w:val="22"/>
        </w:rPr>
        <w:t>Index was applied to all 47 partner schools. All schools with an IS</w:t>
      </w:r>
      <w:r>
        <w:rPr>
          <w:sz w:val="14"/>
          <w:szCs w:val="14"/>
        </w:rPr>
        <w:t xml:space="preserve">3 </w:t>
      </w:r>
      <w:r>
        <w:rPr>
          <w:sz w:val="22"/>
          <w:szCs w:val="22"/>
        </w:rPr>
        <w:t>Index of 16 or below were automatically selected to receive funding from IS</w:t>
      </w:r>
      <w:r>
        <w:rPr>
          <w:sz w:val="14"/>
          <w:szCs w:val="14"/>
        </w:rPr>
        <w:t xml:space="preserve">3 </w:t>
      </w:r>
      <w:r>
        <w:rPr>
          <w:sz w:val="22"/>
          <w:szCs w:val="22"/>
        </w:rPr>
        <w:t>for the remaining 3 years of the grant, regardless of the number of schools within a district. All schools with an IS</w:t>
      </w:r>
      <w:r>
        <w:rPr>
          <w:sz w:val="14"/>
          <w:szCs w:val="14"/>
        </w:rPr>
        <w:t xml:space="preserve">3 </w:t>
      </w:r>
      <w:r>
        <w:rPr>
          <w:sz w:val="22"/>
          <w:szCs w:val="22"/>
        </w:rPr>
        <w:t>Index from 17 to 22 were included for the remaining three years with the exception of districts where multiple schools were partners. In these cases, the school with the lowest IS</w:t>
      </w:r>
      <w:r>
        <w:rPr>
          <w:sz w:val="14"/>
          <w:szCs w:val="14"/>
        </w:rPr>
        <w:t xml:space="preserve">3 </w:t>
      </w:r>
      <w:r>
        <w:rPr>
          <w:sz w:val="22"/>
          <w:szCs w:val="22"/>
        </w:rPr>
        <w:t>Index was selected to continue. Two schools in one district received the same Index; in this case, the school that had the lowest survey participation rates – an indicator of high need across conditions for learning – was selected to continue. The IS</w:t>
      </w:r>
      <w:r>
        <w:rPr>
          <w:sz w:val="14"/>
          <w:szCs w:val="14"/>
        </w:rPr>
        <w:t xml:space="preserve">3 </w:t>
      </w:r>
      <w:r>
        <w:rPr>
          <w:sz w:val="22"/>
          <w:szCs w:val="22"/>
        </w:rPr>
        <w:t xml:space="preserve">Index range is provided in Table 1. </w:t>
      </w:r>
    </w:p>
    <w:p w:rsidR="000B65E8" w:rsidRDefault="000B65E8">
      <w:r>
        <w:br w:type="page"/>
      </w:r>
    </w:p>
    <w:p w:rsidR="000B65E8" w:rsidRPr="00E32614" w:rsidRDefault="000B65E8" w:rsidP="000B65E8">
      <w:pPr>
        <w:pStyle w:val="Heading3"/>
        <w:rPr>
          <w:color w:val="365F91" w:themeColor="accent1" w:themeShade="BF"/>
        </w:rPr>
      </w:pPr>
      <w:bookmarkStart w:id="1" w:name="_Toc326224154"/>
      <w:proofErr w:type="gramStart"/>
      <w:r w:rsidRPr="00E32614">
        <w:rPr>
          <w:i/>
          <w:color w:val="365F91" w:themeColor="accent1" w:themeShade="BF"/>
        </w:rPr>
        <w:lastRenderedPageBreak/>
        <w:t xml:space="preserve">Table </w:t>
      </w:r>
      <w:r w:rsidR="002C5F1E">
        <w:rPr>
          <w:i/>
          <w:color w:val="365F91" w:themeColor="accent1" w:themeShade="BF"/>
        </w:rPr>
        <w:t>1</w:t>
      </w:r>
      <w:r w:rsidRPr="00E32614">
        <w:rPr>
          <w:i/>
          <w:color w:val="365F91" w:themeColor="accent1" w:themeShade="BF"/>
        </w:rPr>
        <w:t>.</w:t>
      </w:r>
      <w:proofErr w:type="gramEnd"/>
      <w:r w:rsidRPr="00E32614">
        <w:rPr>
          <w:i/>
          <w:color w:val="365F91" w:themeColor="accent1" w:themeShade="BF"/>
        </w:rPr>
        <w:t xml:space="preserve"> </w:t>
      </w:r>
      <w:r w:rsidRPr="00E32614">
        <w:rPr>
          <w:color w:val="365F91" w:themeColor="accent1" w:themeShade="BF"/>
        </w:rPr>
        <w:t>IS</w:t>
      </w:r>
      <w:r w:rsidRPr="00E32614">
        <w:rPr>
          <w:color w:val="365F91" w:themeColor="accent1" w:themeShade="BF"/>
          <w:vertAlign w:val="superscript"/>
        </w:rPr>
        <w:t>3</w:t>
      </w:r>
      <w:r w:rsidRPr="00E32614">
        <w:rPr>
          <w:color w:val="365F91" w:themeColor="accent1" w:themeShade="BF"/>
        </w:rPr>
        <w:t xml:space="preserve"> Index Range and Description</w:t>
      </w:r>
      <w:bookmarkEnd w:id="1"/>
    </w:p>
    <w:tbl>
      <w:tblPr>
        <w:tblW w:w="10171" w:type="dxa"/>
        <w:jc w:val="center"/>
        <w:tblInd w:w="26" w:type="dxa"/>
        <w:tblCellMar>
          <w:left w:w="0" w:type="dxa"/>
          <w:right w:w="0" w:type="dxa"/>
        </w:tblCellMar>
        <w:tblLook w:val="04A0" w:firstRow="1" w:lastRow="0" w:firstColumn="1" w:lastColumn="0" w:noHBand="0" w:noVBand="1"/>
      </w:tblPr>
      <w:tblGrid>
        <w:gridCol w:w="1522"/>
        <w:gridCol w:w="8649"/>
      </w:tblGrid>
      <w:tr w:rsidR="000B65E8" w:rsidTr="00BE120C">
        <w:trPr>
          <w:jc w:val="center"/>
        </w:trPr>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65E8" w:rsidRDefault="000B65E8" w:rsidP="00BE120C">
            <w:pPr>
              <w:pStyle w:val="BodyText"/>
              <w:spacing w:after="0" w:line="240" w:lineRule="auto"/>
              <w:ind w:left="-108" w:right="-108"/>
              <w:jc w:val="center"/>
              <w:rPr>
                <w:rFonts w:ascii="Calibri" w:hAnsi="Calibri"/>
                <w:b/>
                <w:bCs/>
                <w:spacing w:val="0"/>
                <w:sz w:val="22"/>
                <w:szCs w:val="22"/>
              </w:rPr>
            </w:pPr>
            <w:r>
              <w:rPr>
                <w:rFonts w:ascii="Calibri" w:hAnsi="Calibri"/>
                <w:b/>
                <w:bCs/>
                <w:sz w:val="22"/>
                <w:szCs w:val="22"/>
              </w:rPr>
              <w:t>Index Range</w:t>
            </w:r>
          </w:p>
        </w:tc>
        <w:tc>
          <w:tcPr>
            <w:tcW w:w="8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65E8" w:rsidRDefault="000B65E8" w:rsidP="00BE120C">
            <w:pPr>
              <w:pStyle w:val="BodyText"/>
              <w:spacing w:after="0" w:line="240" w:lineRule="auto"/>
              <w:ind w:left="-108" w:right="-108"/>
              <w:jc w:val="center"/>
              <w:rPr>
                <w:rFonts w:ascii="Calibri" w:hAnsi="Calibri"/>
                <w:b/>
                <w:bCs/>
                <w:spacing w:val="0"/>
                <w:sz w:val="22"/>
                <w:szCs w:val="22"/>
              </w:rPr>
            </w:pPr>
            <w:r>
              <w:rPr>
                <w:rFonts w:ascii="Calibri" w:hAnsi="Calibri"/>
                <w:b/>
                <w:bCs/>
                <w:sz w:val="22"/>
                <w:szCs w:val="22"/>
              </w:rPr>
              <w:t>Description</w:t>
            </w:r>
          </w:p>
        </w:tc>
      </w:tr>
      <w:tr w:rsidR="000B65E8" w:rsidRPr="009869CA" w:rsidTr="00BE120C">
        <w:trPr>
          <w:trHeight w:val="522"/>
          <w:jc w:val="center"/>
        </w:trPr>
        <w:tc>
          <w:tcPr>
            <w:tcW w:w="1522" w:type="dxa"/>
            <w:tcBorders>
              <w:top w:val="single" w:sz="8" w:space="0" w:color="auto"/>
              <w:left w:val="single" w:sz="8" w:space="0" w:color="auto"/>
              <w:bottom w:val="single" w:sz="4" w:space="0" w:color="auto"/>
              <w:right w:val="single" w:sz="4" w:space="0" w:color="auto"/>
            </w:tcBorders>
            <w:shd w:val="clear" w:color="auto" w:fill="92D050"/>
            <w:tcMar>
              <w:top w:w="0" w:type="dxa"/>
              <w:left w:w="108" w:type="dxa"/>
              <w:bottom w:w="0" w:type="dxa"/>
              <w:right w:w="108" w:type="dxa"/>
            </w:tcMar>
            <w:vAlign w:val="center"/>
            <w:hideMark/>
          </w:tcPr>
          <w:p w:rsidR="000B65E8" w:rsidRPr="009869CA" w:rsidRDefault="000B65E8" w:rsidP="00BE120C">
            <w:pPr>
              <w:pStyle w:val="BodyText"/>
              <w:spacing w:after="0" w:line="240" w:lineRule="auto"/>
              <w:ind w:left="-81" w:right="-135"/>
              <w:jc w:val="center"/>
              <w:rPr>
                <w:rFonts w:ascii="Calibri" w:hAnsi="Calibri"/>
                <w:b/>
                <w:bCs/>
                <w:spacing w:val="0"/>
                <w:sz w:val="22"/>
                <w:szCs w:val="22"/>
              </w:rPr>
            </w:pPr>
            <w:r w:rsidRPr="009869CA">
              <w:rPr>
                <w:rFonts w:ascii="Calibri" w:hAnsi="Calibri"/>
                <w:b/>
                <w:bCs/>
                <w:spacing w:val="0"/>
                <w:sz w:val="22"/>
                <w:szCs w:val="22"/>
              </w:rPr>
              <w:t>30-36</w:t>
            </w:r>
          </w:p>
        </w:tc>
        <w:tc>
          <w:tcPr>
            <w:tcW w:w="8649" w:type="dxa"/>
            <w:tcBorders>
              <w:top w:val="single" w:sz="8" w:space="0" w:color="auto"/>
              <w:left w:val="single" w:sz="4" w:space="0" w:color="auto"/>
              <w:bottom w:val="single" w:sz="4" w:space="0" w:color="auto"/>
              <w:right w:val="single" w:sz="8" w:space="0" w:color="auto"/>
            </w:tcBorders>
            <w:shd w:val="clear" w:color="auto" w:fill="92D050"/>
            <w:tcMar>
              <w:top w:w="0" w:type="dxa"/>
              <w:left w:w="108" w:type="dxa"/>
              <w:bottom w:w="0" w:type="dxa"/>
              <w:right w:w="108" w:type="dxa"/>
            </w:tcMar>
            <w:hideMark/>
          </w:tcPr>
          <w:p w:rsidR="000B65E8" w:rsidRPr="009869CA" w:rsidRDefault="000B65E8" w:rsidP="00BE120C">
            <w:pPr>
              <w:pStyle w:val="BodyText"/>
              <w:spacing w:after="0" w:line="240" w:lineRule="auto"/>
              <w:ind w:left="-18" w:right="72"/>
              <w:jc w:val="center"/>
              <w:rPr>
                <w:rFonts w:ascii="Calibri" w:hAnsi="Calibri"/>
                <w:spacing w:val="0"/>
                <w:sz w:val="22"/>
                <w:szCs w:val="22"/>
              </w:rPr>
            </w:pPr>
            <w:r w:rsidRPr="009869CA">
              <w:rPr>
                <w:rFonts w:ascii="Calibri" w:hAnsi="Calibri"/>
                <w:spacing w:val="0"/>
                <w:sz w:val="22"/>
                <w:szCs w:val="22"/>
              </w:rPr>
              <w:t>Schools with an IS</w:t>
            </w:r>
            <w:r w:rsidRPr="009869CA">
              <w:rPr>
                <w:rFonts w:ascii="Calibri" w:hAnsi="Calibri"/>
                <w:spacing w:val="0"/>
                <w:sz w:val="22"/>
                <w:szCs w:val="22"/>
                <w:vertAlign w:val="superscript"/>
              </w:rPr>
              <w:t>3</w:t>
            </w:r>
            <w:r w:rsidRPr="009869CA">
              <w:rPr>
                <w:rFonts w:ascii="Calibri" w:hAnsi="Calibri"/>
                <w:spacing w:val="0"/>
                <w:sz w:val="22"/>
                <w:szCs w:val="22"/>
              </w:rPr>
              <w:t xml:space="preserve"> Index in this range are</w:t>
            </w:r>
            <w:r w:rsidRPr="009869CA">
              <w:rPr>
                <w:rFonts w:ascii="Calibri" w:hAnsi="Calibri"/>
                <w:sz w:val="22"/>
                <w:szCs w:val="22"/>
              </w:rPr>
              <w:t xml:space="preserve"> creating healthy school climates with optimal conditions for learning in the areas of safety, engagement, and environment.  There still may be room for improvement.</w:t>
            </w:r>
          </w:p>
        </w:tc>
      </w:tr>
      <w:tr w:rsidR="000B65E8" w:rsidRPr="009869CA" w:rsidTr="00BE120C">
        <w:trPr>
          <w:trHeight w:val="495"/>
          <w:jc w:val="center"/>
        </w:trPr>
        <w:tc>
          <w:tcPr>
            <w:tcW w:w="1522" w:type="dxa"/>
            <w:tcBorders>
              <w:top w:val="single" w:sz="4" w:space="0" w:color="auto"/>
              <w:left w:val="single" w:sz="8" w:space="0" w:color="auto"/>
              <w:bottom w:val="single" w:sz="24" w:space="0" w:color="auto"/>
              <w:right w:val="single" w:sz="4" w:space="0" w:color="auto"/>
            </w:tcBorders>
            <w:shd w:val="clear" w:color="auto" w:fill="FFFF00"/>
            <w:tcMar>
              <w:top w:w="0" w:type="dxa"/>
              <w:left w:w="108" w:type="dxa"/>
              <w:bottom w:w="0" w:type="dxa"/>
              <w:right w:w="108" w:type="dxa"/>
            </w:tcMar>
            <w:vAlign w:val="center"/>
            <w:hideMark/>
          </w:tcPr>
          <w:p w:rsidR="000B65E8" w:rsidRPr="009869CA" w:rsidRDefault="000B65E8" w:rsidP="00BE120C">
            <w:pPr>
              <w:pStyle w:val="BodyText"/>
              <w:spacing w:after="0" w:line="240" w:lineRule="auto"/>
              <w:ind w:left="-81" w:right="-135"/>
              <w:jc w:val="center"/>
              <w:rPr>
                <w:rFonts w:ascii="Calibri" w:hAnsi="Calibri"/>
                <w:b/>
                <w:bCs/>
                <w:spacing w:val="0"/>
                <w:sz w:val="22"/>
                <w:szCs w:val="22"/>
              </w:rPr>
            </w:pPr>
            <w:r w:rsidRPr="009869CA">
              <w:rPr>
                <w:rFonts w:ascii="Calibri" w:hAnsi="Calibri"/>
                <w:b/>
                <w:bCs/>
                <w:spacing w:val="0"/>
                <w:sz w:val="22"/>
                <w:szCs w:val="22"/>
              </w:rPr>
              <w:t>23-29</w:t>
            </w:r>
          </w:p>
        </w:tc>
        <w:tc>
          <w:tcPr>
            <w:tcW w:w="8649" w:type="dxa"/>
            <w:tcBorders>
              <w:top w:val="single" w:sz="4" w:space="0" w:color="auto"/>
              <w:left w:val="single" w:sz="4" w:space="0" w:color="auto"/>
              <w:bottom w:val="single" w:sz="24" w:space="0" w:color="auto"/>
              <w:right w:val="single" w:sz="8" w:space="0" w:color="auto"/>
            </w:tcBorders>
            <w:shd w:val="clear" w:color="auto" w:fill="FFFF00"/>
            <w:tcMar>
              <w:top w:w="0" w:type="dxa"/>
              <w:left w:w="108" w:type="dxa"/>
              <w:bottom w:w="0" w:type="dxa"/>
              <w:right w:w="108" w:type="dxa"/>
            </w:tcMar>
            <w:hideMark/>
          </w:tcPr>
          <w:p w:rsidR="000B65E8" w:rsidRPr="009869CA" w:rsidRDefault="000B65E8" w:rsidP="00BE120C">
            <w:pPr>
              <w:pStyle w:val="BodyText"/>
              <w:spacing w:after="0" w:line="240" w:lineRule="auto"/>
              <w:ind w:left="-18" w:right="72"/>
              <w:jc w:val="center"/>
              <w:rPr>
                <w:rFonts w:ascii="Calibri" w:hAnsi="Calibri"/>
                <w:spacing w:val="0"/>
                <w:sz w:val="22"/>
                <w:szCs w:val="22"/>
              </w:rPr>
            </w:pPr>
            <w:r w:rsidRPr="009869CA">
              <w:rPr>
                <w:rFonts w:ascii="Calibri" w:hAnsi="Calibri"/>
                <w:spacing w:val="0"/>
                <w:sz w:val="22"/>
                <w:szCs w:val="22"/>
              </w:rPr>
              <w:t>Schools with an IS</w:t>
            </w:r>
            <w:r w:rsidRPr="009869CA">
              <w:rPr>
                <w:rFonts w:ascii="Calibri" w:hAnsi="Calibri"/>
                <w:spacing w:val="0"/>
                <w:sz w:val="22"/>
                <w:szCs w:val="22"/>
                <w:vertAlign w:val="superscript"/>
              </w:rPr>
              <w:t>3</w:t>
            </w:r>
            <w:r w:rsidRPr="009869CA">
              <w:rPr>
                <w:rFonts w:ascii="Calibri" w:hAnsi="Calibri"/>
                <w:spacing w:val="0"/>
                <w:sz w:val="22"/>
                <w:szCs w:val="22"/>
              </w:rPr>
              <w:t xml:space="preserve"> Index in this range need some targeted support to improve the health of the school climate and to create favorable conditions for learning in the areas of safety, engagement and environment.</w:t>
            </w:r>
          </w:p>
        </w:tc>
      </w:tr>
      <w:tr w:rsidR="000B65E8" w:rsidRPr="009869CA" w:rsidTr="00BE120C">
        <w:trPr>
          <w:trHeight w:val="486"/>
          <w:jc w:val="center"/>
        </w:trPr>
        <w:tc>
          <w:tcPr>
            <w:tcW w:w="1522" w:type="dxa"/>
            <w:tcBorders>
              <w:top w:val="single" w:sz="24" w:space="0" w:color="auto"/>
              <w:left w:val="single" w:sz="8" w:space="0" w:color="auto"/>
              <w:bottom w:val="single" w:sz="4" w:space="0" w:color="auto"/>
              <w:right w:val="single" w:sz="4" w:space="0" w:color="auto"/>
            </w:tcBorders>
            <w:shd w:val="clear" w:color="auto" w:fill="E36C0A" w:themeFill="accent6" w:themeFillShade="BF"/>
            <w:tcMar>
              <w:top w:w="0" w:type="dxa"/>
              <w:left w:w="108" w:type="dxa"/>
              <w:bottom w:w="0" w:type="dxa"/>
              <w:right w:w="108" w:type="dxa"/>
            </w:tcMar>
            <w:vAlign w:val="center"/>
            <w:hideMark/>
          </w:tcPr>
          <w:p w:rsidR="000B65E8" w:rsidRPr="009869CA" w:rsidRDefault="000B65E8" w:rsidP="00BE120C">
            <w:pPr>
              <w:pStyle w:val="BodyText"/>
              <w:spacing w:after="0" w:line="240" w:lineRule="auto"/>
              <w:ind w:left="-81" w:right="-135"/>
              <w:jc w:val="center"/>
              <w:rPr>
                <w:rFonts w:ascii="Calibri" w:hAnsi="Calibri"/>
                <w:b/>
                <w:bCs/>
                <w:spacing w:val="0"/>
                <w:sz w:val="22"/>
                <w:szCs w:val="22"/>
              </w:rPr>
            </w:pPr>
            <w:r w:rsidRPr="009869CA">
              <w:rPr>
                <w:rFonts w:ascii="Calibri" w:hAnsi="Calibri"/>
                <w:b/>
                <w:bCs/>
                <w:spacing w:val="0"/>
                <w:sz w:val="22"/>
                <w:szCs w:val="22"/>
              </w:rPr>
              <w:t>17-22</w:t>
            </w:r>
          </w:p>
        </w:tc>
        <w:tc>
          <w:tcPr>
            <w:tcW w:w="8649" w:type="dxa"/>
            <w:tcBorders>
              <w:top w:val="single" w:sz="24" w:space="0" w:color="auto"/>
              <w:left w:val="single" w:sz="4" w:space="0" w:color="auto"/>
              <w:bottom w:val="single" w:sz="4" w:space="0" w:color="auto"/>
              <w:right w:val="single" w:sz="8" w:space="0" w:color="auto"/>
            </w:tcBorders>
            <w:shd w:val="clear" w:color="auto" w:fill="E36C0A" w:themeFill="accent6" w:themeFillShade="BF"/>
            <w:tcMar>
              <w:top w:w="0" w:type="dxa"/>
              <w:left w:w="108" w:type="dxa"/>
              <w:bottom w:w="0" w:type="dxa"/>
              <w:right w:w="108" w:type="dxa"/>
            </w:tcMar>
            <w:hideMark/>
          </w:tcPr>
          <w:p w:rsidR="000B65E8" w:rsidRPr="009869CA" w:rsidRDefault="000B65E8" w:rsidP="00BE120C">
            <w:pPr>
              <w:pStyle w:val="BodyText"/>
              <w:spacing w:after="0" w:line="240" w:lineRule="auto"/>
              <w:ind w:left="-18" w:right="72"/>
              <w:jc w:val="center"/>
              <w:rPr>
                <w:rFonts w:ascii="Calibri" w:hAnsi="Calibri"/>
                <w:spacing w:val="0"/>
                <w:sz w:val="22"/>
                <w:szCs w:val="22"/>
              </w:rPr>
            </w:pPr>
            <w:r w:rsidRPr="009869CA">
              <w:rPr>
                <w:rFonts w:ascii="Calibri" w:hAnsi="Calibri"/>
                <w:spacing w:val="0"/>
                <w:sz w:val="22"/>
                <w:szCs w:val="22"/>
              </w:rPr>
              <w:t>Schools with an IS</w:t>
            </w:r>
            <w:r w:rsidRPr="009869CA">
              <w:rPr>
                <w:rFonts w:ascii="Calibri" w:hAnsi="Calibri"/>
                <w:spacing w:val="0"/>
                <w:sz w:val="22"/>
                <w:szCs w:val="22"/>
                <w:vertAlign w:val="superscript"/>
              </w:rPr>
              <w:t xml:space="preserve">3 </w:t>
            </w:r>
            <w:r w:rsidRPr="009869CA">
              <w:rPr>
                <w:rFonts w:ascii="Calibri" w:hAnsi="Calibri"/>
                <w:spacing w:val="0"/>
                <w:sz w:val="22"/>
                <w:szCs w:val="22"/>
              </w:rPr>
              <w:t>Index in this range need intensive to targeted support to improve the health of the school climate and to create favorable conditions for learning in the areas of safety, engagement and environment.</w:t>
            </w:r>
          </w:p>
        </w:tc>
      </w:tr>
      <w:tr w:rsidR="000B65E8" w:rsidRPr="009869CA" w:rsidTr="00BE120C">
        <w:trPr>
          <w:trHeight w:val="504"/>
          <w:jc w:val="center"/>
        </w:trPr>
        <w:tc>
          <w:tcPr>
            <w:tcW w:w="1522" w:type="dxa"/>
            <w:tcBorders>
              <w:top w:val="single" w:sz="4" w:space="0" w:color="auto"/>
              <w:left w:val="single" w:sz="8" w:space="0" w:color="auto"/>
              <w:bottom w:val="single" w:sz="8" w:space="0" w:color="auto"/>
              <w:right w:val="single" w:sz="4" w:space="0" w:color="auto"/>
            </w:tcBorders>
            <w:shd w:val="clear" w:color="auto" w:fill="C00000"/>
            <w:tcMar>
              <w:top w:w="0" w:type="dxa"/>
              <w:left w:w="108" w:type="dxa"/>
              <w:bottom w:w="0" w:type="dxa"/>
              <w:right w:w="108" w:type="dxa"/>
            </w:tcMar>
            <w:vAlign w:val="center"/>
            <w:hideMark/>
          </w:tcPr>
          <w:p w:rsidR="000B65E8" w:rsidRPr="009869CA" w:rsidRDefault="000B65E8" w:rsidP="00BE120C">
            <w:pPr>
              <w:pStyle w:val="BodyText"/>
              <w:spacing w:after="0" w:line="240" w:lineRule="auto"/>
              <w:ind w:left="-81" w:right="-135"/>
              <w:jc w:val="center"/>
              <w:rPr>
                <w:rFonts w:ascii="Calibri" w:hAnsi="Calibri"/>
                <w:b/>
                <w:bCs/>
                <w:spacing w:val="0"/>
                <w:sz w:val="22"/>
                <w:szCs w:val="22"/>
              </w:rPr>
            </w:pPr>
            <w:r w:rsidRPr="009869CA">
              <w:rPr>
                <w:rFonts w:ascii="Calibri" w:hAnsi="Calibri"/>
                <w:b/>
                <w:bCs/>
                <w:spacing w:val="0"/>
                <w:sz w:val="22"/>
                <w:szCs w:val="22"/>
              </w:rPr>
              <w:t>0-16</w:t>
            </w:r>
          </w:p>
        </w:tc>
        <w:tc>
          <w:tcPr>
            <w:tcW w:w="8649" w:type="dxa"/>
            <w:tcBorders>
              <w:top w:val="single" w:sz="4" w:space="0" w:color="auto"/>
              <w:left w:val="single" w:sz="4" w:space="0" w:color="auto"/>
              <w:bottom w:val="single" w:sz="8" w:space="0" w:color="auto"/>
              <w:right w:val="single" w:sz="8" w:space="0" w:color="auto"/>
            </w:tcBorders>
            <w:shd w:val="clear" w:color="auto" w:fill="C00000"/>
            <w:tcMar>
              <w:top w:w="0" w:type="dxa"/>
              <w:left w:w="108" w:type="dxa"/>
              <w:bottom w:w="0" w:type="dxa"/>
              <w:right w:w="108" w:type="dxa"/>
            </w:tcMar>
            <w:hideMark/>
          </w:tcPr>
          <w:p w:rsidR="000B65E8" w:rsidRPr="009869CA" w:rsidRDefault="000B65E8" w:rsidP="00BE120C">
            <w:pPr>
              <w:pStyle w:val="BodyText"/>
              <w:spacing w:after="0" w:line="240" w:lineRule="auto"/>
              <w:ind w:left="-18" w:right="72"/>
              <w:jc w:val="center"/>
              <w:rPr>
                <w:rFonts w:ascii="Calibri" w:hAnsi="Calibri"/>
                <w:spacing w:val="0"/>
                <w:sz w:val="22"/>
                <w:szCs w:val="22"/>
              </w:rPr>
            </w:pPr>
            <w:r w:rsidRPr="009869CA">
              <w:rPr>
                <w:rFonts w:ascii="Calibri" w:hAnsi="Calibri"/>
                <w:spacing w:val="0"/>
                <w:sz w:val="22"/>
                <w:szCs w:val="22"/>
              </w:rPr>
              <w:t>Schools with an IS</w:t>
            </w:r>
            <w:r w:rsidRPr="009869CA">
              <w:rPr>
                <w:rFonts w:ascii="Calibri" w:hAnsi="Calibri"/>
                <w:spacing w:val="0"/>
                <w:sz w:val="22"/>
                <w:szCs w:val="22"/>
                <w:vertAlign w:val="superscript"/>
              </w:rPr>
              <w:t>3</w:t>
            </w:r>
            <w:r w:rsidRPr="009869CA">
              <w:rPr>
                <w:rFonts w:ascii="Calibri" w:hAnsi="Calibri"/>
                <w:spacing w:val="0"/>
                <w:sz w:val="22"/>
                <w:szCs w:val="22"/>
              </w:rPr>
              <w:t xml:space="preserve"> Index in this range need intensive support to improve the health of the school climate and to create favorable conditions for learning in the areas of safety, engagement and environment.</w:t>
            </w:r>
          </w:p>
        </w:tc>
      </w:tr>
    </w:tbl>
    <w:p w:rsidR="000B65E8" w:rsidRDefault="000B65E8">
      <w:pPr>
        <w:rPr>
          <w:rFonts w:ascii="Calibri" w:hAnsi="Calibri" w:cs="Calibri"/>
          <w:color w:val="000000"/>
          <w:sz w:val="24"/>
          <w:szCs w:val="24"/>
        </w:rPr>
      </w:pPr>
      <w:r>
        <w:br w:type="page"/>
      </w:r>
    </w:p>
    <w:p w:rsidR="002C5F1E" w:rsidRDefault="002C5F1E" w:rsidP="002C5F1E">
      <w:pPr>
        <w:pStyle w:val="Heading1"/>
        <w:spacing w:before="0"/>
      </w:pPr>
      <w:bookmarkStart w:id="2" w:name="_Toc321521574"/>
      <w:bookmarkStart w:id="3" w:name="_Toc326224157"/>
      <w:r>
        <w:lastRenderedPageBreak/>
        <w:t>What is the IS</w:t>
      </w:r>
      <w:r>
        <w:rPr>
          <w:vertAlign w:val="superscript"/>
        </w:rPr>
        <w:t>3</w:t>
      </w:r>
      <w:r>
        <w:t xml:space="preserve"> Index </w:t>
      </w:r>
      <w:r w:rsidRPr="002C5F1E">
        <w:t>comprised</w:t>
      </w:r>
      <w:r>
        <w:t xml:space="preserve"> of?</w:t>
      </w:r>
      <w:bookmarkEnd w:id="2"/>
      <w:bookmarkEnd w:id="3"/>
    </w:p>
    <w:p w:rsidR="002C5F1E" w:rsidRPr="008B2D3B" w:rsidRDefault="002C5F1E" w:rsidP="002C5F1E">
      <w:pPr>
        <w:spacing w:line="240" w:lineRule="auto"/>
        <w:ind w:firstLine="360"/>
      </w:pPr>
      <w:r w:rsidRPr="008B2D3B">
        <w:t>The IS</w:t>
      </w:r>
      <w:r w:rsidRPr="008B2D3B">
        <w:rPr>
          <w:vertAlign w:val="superscript"/>
        </w:rPr>
        <w:t>3</w:t>
      </w:r>
      <w:r w:rsidRPr="008B2D3B">
        <w:t xml:space="preserve"> Index is comprised of three domains, each of which measures part of a school’s overall conditions for learning: </w:t>
      </w:r>
      <w:r w:rsidRPr="008B2D3B">
        <w:rPr>
          <w:b/>
        </w:rPr>
        <w:t>Safety</w:t>
      </w:r>
      <w:r w:rsidRPr="008B2D3B">
        <w:t xml:space="preserve">, </w:t>
      </w:r>
      <w:r w:rsidRPr="008B2D3B">
        <w:rPr>
          <w:b/>
        </w:rPr>
        <w:t>Engagement</w:t>
      </w:r>
      <w:r w:rsidRPr="008B2D3B">
        <w:t xml:space="preserve"> and </w:t>
      </w:r>
      <w:r w:rsidRPr="008B2D3B">
        <w:rPr>
          <w:b/>
        </w:rPr>
        <w:t>Environment</w:t>
      </w:r>
      <w:r w:rsidRPr="008B2D3B">
        <w:t>.  Within each domain, there are data elements.  For example, the Safety Domain includes three data elements: Physical Safety, Emotional Safety and Suspensions/Expulsions for Fighting or Violent Behavior without Physical Injury.  Each data element is assigned points from zero (0) to three (3), where zero indicates intensive need and three indicates optimal conditions for learning.  The sum of the points for the data elements provides the total points for each domain; the sum across domains provides the total points for the IS</w:t>
      </w:r>
      <w:r w:rsidRPr="008B2D3B">
        <w:rPr>
          <w:vertAlign w:val="superscript"/>
        </w:rPr>
        <w:t>3</w:t>
      </w:r>
      <w:r>
        <w:t xml:space="preserve"> Index.  Figure 3</w:t>
      </w:r>
      <w:r w:rsidRPr="008B2D3B">
        <w:t xml:space="preserve"> illustrates the IS</w:t>
      </w:r>
      <w:r w:rsidRPr="008B2D3B">
        <w:rPr>
          <w:vertAlign w:val="superscript"/>
        </w:rPr>
        <w:t>3</w:t>
      </w:r>
      <w:r w:rsidRPr="008B2D3B">
        <w:t xml:space="preserve"> Index, comprised of the 3 domains and 12 data elements.</w:t>
      </w:r>
    </w:p>
    <w:tbl>
      <w:tblPr>
        <w:tblW w:w="0" w:type="auto"/>
        <w:tblInd w:w="42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AEEF3" w:themeFill="accent5" w:themeFillTint="33"/>
        <w:tblLook w:val="04A0" w:firstRow="1" w:lastRow="0" w:firstColumn="1" w:lastColumn="0" w:noHBand="0" w:noVBand="1"/>
      </w:tblPr>
      <w:tblGrid>
        <w:gridCol w:w="4500"/>
      </w:tblGrid>
      <w:tr w:rsidR="002C5F1E" w:rsidTr="00BE120C">
        <w:tc>
          <w:tcPr>
            <w:tcW w:w="4500" w:type="dxa"/>
            <w:shd w:val="clear" w:color="auto" w:fill="DAEEF3" w:themeFill="accent5" w:themeFillTint="33"/>
          </w:tcPr>
          <w:p w:rsidR="002C5F1E" w:rsidRPr="004963C8" w:rsidRDefault="002C5F1E" w:rsidP="00BE120C">
            <w:pPr>
              <w:pBdr>
                <w:bottom w:val="single" w:sz="12" w:space="1" w:color="auto"/>
              </w:pBdr>
              <w:spacing w:after="0" w:line="240" w:lineRule="auto"/>
              <w:jc w:val="center"/>
              <w:rPr>
                <w:b/>
                <w:sz w:val="28"/>
                <w:szCs w:val="28"/>
              </w:rPr>
            </w:pPr>
            <w:r w:rsidRPr="004963C8">
              <w:rPr>
                <w:b/>
                <w:sz w:val="28"/>
                <w:szCs w:val="28"/>
              </w:rPr>
              <w:t>IS</w:t>
            </w:r>
            <w:r w:rsidRPr="004963C8">
              <w:rPr>
                <w:b/>
                <w:sz w:val="28"/>
                <w:szCs w:val="28"/>
                <w:vertAlign w:val="superscript"/>
              </w:rPr>
              <w:t xml:space="preserve">3 </w:t>
            </w:r>
            <w:r w:rsidRPr="004963C8">
              <w:rPr>
                <w:b/>
                <w:sz w:val="28"/>
                <w:szCs w:val="28"/>
              </w:rPr>
              <w:t>INDEX</w:t>
            </w:r>
          </w:p>
          <w:p w:rsidR="002C5F1E" w:rsidRDefault="002C5F1E" w:rsidP="00BE120C">
            <w:pPr>
              <w:spacing w:after="0" w:line="240" w:lineRule="auto"/>
              <w:jc w:val="center"/>
              <w:rPr>
                <w:sz w:val="20"/>
                <w:szCs w:val="20"/>
              </w:rPr>
            </w:pPr>
            <w:r w:rsidRPr="000728C2">
              <w:rPr>
                <w:sz w:val="20"/>
                <w:szCs w:val="20"/>
              </w:rPr>
              <w:t>An Indicator (or reflection) of the health of a school’s optimal conditions for learning in the areas of safety, engagement and environment</w:t>
            </w:r>
            <w:r>
              <w:rPr>
                <w:sz w:val="20"/>
                <w:szCs w:val="20"/>
              </w:rPr>
              <w:t>.</w:t>
            </w:r>
          </w:p>
          <w:p w:rsidR="002C5F1E" w:rsidRPr="000728C2" w:rsidRDefault="005939A1" w:rsidP="00BE120C">
            <w:pPr>
              <w:spacing w:after="0" w:line="240" w:lineRule="auto"/>
              <w:jc w:val="center"/>
              <w:rPr>
                <w:b/>
                <w:sz w:val="20"/>
                <w:szCs w:val="20"/>
              </w:rPr>
            </w:pPr>
            <w:r>
              <w:rPr>
                <w:b/>
                <w:noProof/>
                <w:sz w:val="20"/>
                <w:szCs w:val="20"/>
              </w:rPr>
              <mc:AlternateContent>
                <mc:Choice Requires="wps">
                  <w:drawing>
                    <wp:anchor distT="0" distB="0" distL="114295" distR="114295" simplePos="0" relativeHeight="251660288" behindDoc="0" locked="0" layoutInCell="1" allowOverlap="1">
                      <wp:simplePos x="0" y="0"/>
                      <wp:positionH relativeFrom="column">
                        <wp:posOffset>-69851</wp:posOffset>
                      </wp:positionH>
                      <wp:positionV relativeFrom="paragraph">
                        <wp:posOffset>146685</wp:posOffset>
                      </wp:positionV>
                      <wp:extent cx="0" cy="349250"/>
                      <wp:effectExtent l="50800" t="0" r="76200" b="82550"/>
                      <wp:wrapNone/>
                      <wp:docPr id="6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15" o:spid="_x0000_s1026" type="#_x0000_t32" style="position:absolute;margin-left:-5.45pt;margin-top:11.55pt;width:0;height:27.5pt;z-index:251660288;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">
                      <v:stroke endarrow="block"/>
                    </v:shape>
                  </w:pict>
                </mc:Fallback>
              </mc:AlternateContent>
            </w:r>
            <w:r>
              <w:rPr>
                <w:noProof/>
                <w:sz w:val="20"/>
                <w:szCs w:val="20"/>
              </w:rPr>
              <mc:AlternateContent>
                <mc:Choice Requires="wps">
                  <w:drawing>
                    <wp:anchor distT="0" distB="0" distL="114295" distR="114295" simplePos="0" relativeHeight="251661312" behindDoc="0" locked="0" layoutInCell="1" allowOverlap="1">
                      <wp:simplePos x="0" y="0"/>
                      <wp:positionH relativeFrom="column">
                        <wp:posOffset>2787014</wp:posOffset>
                      </wp:positionH>
                      <wp:positionV relativeFrom="paragraph">
                        <wp:posOffset>146685</wp:posOffset>
                      </wp:positionV>
                      <wp:extent cx="0" cy="349250"/>
                      <wp:effectExtent l="50800" t="0" r="76200" b="82550"/>
                      <wp:wrapNone/>
                      <wp:docPr id="68"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4" o:spid="_x0000_s1026" type="#_x0000_t32" style="position:absolute;margin-left:219.45pt;margin-top:11.55pt;width:0;height:27.5pt;z-index:251661312;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">
                      <v:stroke endarrow="block"/>
                    </v:shape>
                  </w:pict>
                </mc:Fallback>
              </mc:AlternateContent>
            </w:r>
            <w:r w:rsidR="002C5F1E" w:rsidRPr="000728C2">
              <w:rPr>
                <w:b/>
                <w:sz w:val="20"/>
                <w:szCs w:val="20"/>
              </w:rPr>
              <w:t>Total Points Possible: 36</w:t>
            </w:r>
          </w:p>
        </w:tc>
      </w:tr>
    </w:tbl>
    <w:p w:rsidR="002C5F1E" w:rsidRDefault="005939A1" w:rsidP="002C5F1E">
      <w:pPr>
        <w:spacing w:after="0" w:line="240" w:lineRule="auto"/>
        <w:rPr>
          <w:sz w:val="20"/>
          <w:szCs w:val="20"/>
        </w:rPr>
      </w:pPr>
      <w:r>
        <w:rPr>
          <w:noProof/>
          <w:sz w:val="20"/>
          <w:szCs w:val="20"/>
        </w:rPr>
        <mc:AlternateContent>
          <mc:Choice Requires="wps">
            <w:drawing>
              <wp:anchor distT="0" distB="0" distL="114295" distR="114295" simplePos="0" relativeHeight="251662336" behindDoc="0" locked="0" layoutInCell="1" allowOverlap="1">
                <wp:simplePos x="0" y="0"/>
                <wp:positionH relativeFrom="column">
                  <wp:posOffset>4110989</wp:posOffset>
                </wp:positionH>
                <wp:positionV relativeFrom="paragraph">
                  <wp:posOffset>-635</wp:posOffset>
                </wp:positionV>
                <wp:extent cx="0" cy="349250"/>
                <wp:effectExtent l="50800" t="0" r="76200" b="82550"/>
                <wp:wrapNone/>
                <wp:docPr id="67"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3" o:spid="_x0000_s1026" type="#_x0000_t32" style="position:absolute;margin-left:323.7pt;margin-top:0;width:0;height:27.5pt;z-index:251662336;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">
                <v:stroke endarrow="block"/>
              </v:shape>
            </w:pict>
          </mc:Fallback>
        </mc:AlternateContent>
      </w:r>
    </w:p>
    <w:p w:rsidR="002C5F1E" w:rsidRDefault="002C5F1E" w:rsidP="002C5F1E">
      <w:pPr>
        <w:spacing w:after="0" w:line="240" w:lineRule="auto"/>
        <w:rPr>
          <w:sz w:val="20"/>
          <w:szCs w:val="20"/>
        </w:rPr>
      </w:pPr>
    </w:p>
    <w:tbl>
      <w:tblPr>
        <w:tblW w:w="9900" w:type="dxa"/>
        <w:tblInd w:w="558" w:type="dxa"/>
        <w:tblLook w:val="04A0" w:firstRow="1" w:lastRow="0" w:firstColumn="1" w:lastColumn="0" w:noHBand="0" w:noVBand="1"/>
      </w:tblPr>
      <w:tblGrid>
        <w:gridCol w:w="1725"/>
        <w:gridCol w:w="435"/>
        <w:gridCol w:w="2340"/>
        <w:gridCol w:w="351"/>
        <w:gridCol w:w="2349"/>
        <w:gridCol w:w="364"/>
        <w:gridCol w:w="2336"/>
      </w:tblGrid>
      <w:tr w:rsidR="002C5F1E" w:rsidTr="00BE120C">
        <w:tc>
          <w:tcPr>
            <w:tcW w:w="1725" w:type="dxa"/>
          </w:tcPr>
          <w:p w:rsidR="002C5F1E" w:rsidRDefault="005939A1" w:rsidP="00BE120C">
            <w:pPr>
              <w:spacing w:after="0" w:line="240" w:lineRule="auto"/>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-93980</wp:posOffset>
                      </wp:positionH>
                      <wp:positionV relativeFrom="paragraph">
                        <wp:posOffset>134620</wp:posOffset>
                      </wp:positionV>
                      <wp:extent cx="1281430" cy="914400"/>
                      <wp:effectExtent l="0" t="50800" r="39370" b="76200"/>
                      <wp:wrapNone/>
                      <wp:docPr id="66"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914400"/>
                              </a:xfrm>
                              <a:prstGeom prst="rightArrow">
                                <a:avLst>
                                  <a:gd name="adj1" fmla="val 50000"/>
                                  <a:gd name="adj2" fmla="val 350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7.35pt;margin-top:10.6pt;width:100.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"/>
                  </w:pict>
                </mc:Fallback>
              </mc:AlternateContent>
            </w:r>
          </w:p>
          <w:p w:rsidR="002C5F1E" w:rsidRDefault="005939A1" w:rsidP="00BE120C">
            <w:pPr>
              <w:spacing w:after="0" w:line="240" w:lineRule="auto"/>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-93980</wp:posOffset>
                      </wp:positionH>
                      <wp:positionV relativeFrom="paragraph">
                        <wp:posOffset>178435</wp:posOffset>
                      </wp:positionV>
                      <wp:extent cx="923290" cy="676910"/>
                      <wp:effectExtent l="0" t="0" r="0" b="8890"/>
                      <wp:wrapNone/>
                      <wp:docPr id="3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F1E" w:rsidRDefault="002C5F1E" w:rsidP="002C5F1E">
                                  <w:pPr>
                                    <w:pBdr>
                                      <w:bottom w:val="single" w:sz="12" w:space="1" w:color="auto"/>
                                    </w:pBdr>
                                    <w:spacing w:after="0" w:line="240" w:lineRule="auto"/>
                                    <w:jc w:val="center"/>
                                  </w:pPr>
                                  <w:r>
                                    <w:t xml:space="preserve">Domains </w:t>
                                  </w:r>
                                </w:p>
                                <w:p w:rsidR="002C5F1E" w:rsidRDefault="002C5F1E" w:rsidP="002C5F1E">
                                  <w:pPr>
                                    <w:spacing w:after="0" w:line="240" w:lineRule="auto"/>
                                    <w:jc w:val="center"/>
                                  </w:pPr>
                                  <w:r>
                                    <w:t>Definitions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6" type="#_x0000_t202" style="position:absolute;margin-left:-7.35pt;margin-top:14.05pt;width:72.7pt;height:5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" filled="f" stroked="f">
                      <v:textbox>
                        <w:txbxContent>
                          <w:p w:rsidR="002C5F1E" w:rsidRDefault="002C5F1E" w:rsidP="002C5F1E">
                            <w:pPr>
                              <w:pBdr>
                                <w:bottom w:val="single" w:sz="12" w:space="1" w:color="auto"/>
                              </w:pBdr>
                              <w:spacing w:after="0" w:line="240" w:lineRule="auto"/>
                              <w:jc w:val="center"/>
                            </w:pPr>
                            <w:r>
                              <w:t xml:space="preserve">Domains </w:t>
                            </w:r>
                          </w:p>
                          <w:p w:rsidR="002C5F1E" w:rsidRDefault="002C5F1E" w:rsidP="002C5F1E">
                            <w:pPr>
                              <w:spacing w:after="0" w:line="240" w:lineRule="auto"/>
                              <w:jc w:val="center"/>
                            </w:pPr>
                            <w:r>
                              <w:t>Definitions</w:t>
                            </w:r>
                          </w:p>
                        </w:txbxContent>
                      </v:textbox>
                    </v:shape>
                  </w:pict>
                </mc:Fallback>
              </mc:AlternateContent>
            </w:r>
          </w:p>
        </w:tc>
        <w:tc>
          <w:tcPr>
            <w:tcW w:w="435" w:type="dxa"/>
            <w:tcBorders>
              <w:right w:val="single" w:sz="12" w:space="0" w:color="auto"/>
            </w:tcBorders>
          </w:tcPr>
          <w:p w:rsidR="002C5F1E" w:rsidRDefault="002C5F1E" w:rsidP="00BE120C">
            <w:pPr>
              <w:spacing w:after="0" w:line="240" w:lineRule="auto"/>
              <w:rPr>
                <w:sz w:val="20"/>
                <w:szCs w:val="20"/>
              </w:rPr>
            </w:pPr>
          </w:p>
        </w:tc>
        <w:tc>
          <w:tcPr>
            <w:tcW w:w="2340" w:type="dxa"/>
            <w:tcBorders>
              <w:top w:val="single" w:sz="12" w:space="0" w:color="auto"/>
              <w:left w:val="single" w:sz="12" w:space="0" w:color="auto"/>
              <w:bottom w:val="single" w:sz="12" w:space="0" w:color="auto"/>
              <w:right w:val="single" w:sz="12" w:space="0" w:color="auto"/>
            </w:tcBorders>
            <w:vAlign w:val="center"/>
          </w:tcPr>
          <w:p w:rsidR="002C5F1E" w:rsidRDefault="002C5F1E" w:rsidP="00BE120C">
            <w:pPr>
              <w:spacing w:after="0" w:line="240" w:lineRule="auto"/>
              <w:jc w:val="center"/>
              <w:rPr>
                <w:sz w:val="20"/>
                <w:szCs w:val="20"/>
              </w:rPr>
            </w:pPr>
          </w:p>
          <w:p w:rsidR="002C5F1E" w:rsidRPr="001A7338" w:rsidRDefault="002C5F1E" w:rsidP="00BE120C">
            <w:pPr>
              <w:pBdr>
                <w:bottom w:val="single" w:sz="12" w:space="1" w:color="auto"/>
              </w:pBdr>
              <w:spacing w:after="0" w:line="240" w:lineRule="auto"/>
              <w:jc w:val="center"/>
              <w:rPr>
                <w:b/>
                <w:sz w:val="24"/>
                <w:szCs w:val="24"/>
              </w:rPr>
            </w:pPr>
            <w:r w:rsidRPr="001A7338">
              <w:rPr>
                <w:b/>
                <w:sz w:val="24"/>
                <w:szCs w:val="24"/>
              </w:rPr>
              <w:t>SAFETY</w:t>
            </w:r>
          </w:p>
          <w:p w:rsidR="002C5F1E" w:rsidRDefault="002C5F1E" w:rsidP="00BE120C">
            <w:pPr>
              <w:spacing w:after="0" w:line="240" w:lineRule="auto"/>
              <w:ind w:left="-40" w:right="-18"/>
              <w:jc w:val="center"/>
              <w:rPr>
                <w:sz w:val="18"/>
                <w:szCs w:val="18"/>
              </w:rPr>
            </w:pPr>
            <w:r w:rsidRPr="009A3E5A">
              <w:rPr>
                <w:sz w:val="18"/>
                <w:szCs w:val="18"/>
              </w:rPr>
              <w:t>Physical and social-emotional safety of the students in the educational system</w:t>
            </w:r>
            <w:r>
              <w:rPr>
                <w:sz w:val="18"/>
                <w:szCs w:val="18"/>
              </w:rPr>
              <w:t>.</w:t>
            </w:r>
          </w:p>
          <w:p w:rsidR="002C5F1E" w:rsidRPr="009A3E5A" w:rsidRDefault="002C5F1E" w:rsidP="00BE120C">
            <w:pPr>
              <w:spacing w:after="0" w:line="240" w:lineRule="auto"/>
              <w:ind w:left="-130" w:right="-132"/>
              <w:jc w:val="center"/>
              <w:rPr>
                <w:sz w:val="18"/>
                <w:szCs w:val="18"/>
              </w:rPr>
            </w:pPr>
            <w:r w:rsidRPr="001A7338">
              <w:rPr>
                <w:b/>
                <w:sz w:val="18"/>
                <w:szCs w:val="18"/>
              </w:rPr>
              <w:t xml:space="preserve">Total Points Possible: </w:t>
            </w:r>
            <w:r>
              <w:rPr>
                <w:b/>
                <w:sz w:val="18"/>
                <w:szCs w:val="18"/>
              </w:rPr>
              <w:t>9</w:t>
            </w:r>
          </w:p>
          <w:p w:rsidR="002C5F1E" w:rsidRDefault="002C5F1E" w:rsidP="00BE120C">
            <w:pPr>
              <w:spacing w:after="0" w:line="240" w:lineRule="auto"/>
              <w:jc w:val="center"/>
              <w:rPr>
                <w:sz w:val="20"/>
                <w:szCs w:val="20"/>
              </w:rPr>
            </w:pPr>
          </w:p>
        </w:tc>
        <w:tc>
          <w:tcPr>
            <w:tcW w:w="351" w:type="dxa"/>
            <w:tcBorders>
              <w:left w:val="single" w:sz="12" w:space="0" w:color="auto"/>
              <w:right w:val="single" w:sz="12" w:space="0" w:color="auto"/>
            </w:tcBorders>
            <w:vAlign w:val="center"/>
          </w:tcPr>
          <w:p w:rsidR="002C5F1E" w:rsidRDefault="002C5F1E" w:rsidP="00BE120C">
            <w:pPr>
              <w:spacing w:after="0" w:line="240" w:lineRule="auto"/>
              <w:jc w:val="center"/>
              <w:rPr>
                <w:sz w:val="20"/>
                <w:szCs w:val="20"/>
              </w:rPr>
            </w:pPr>
          </w:p>
        </w:tc>
        <w:tc>
          <w:tcPr>
            <w:tcW w:w="2349" w:type="dxa"/>
            <w:tcBorders>
              <w:top w:val="single" w:sz="12" w:space="0" w:color="auto"/>
              <w:left w:val="single" w:sz="12" w:space="0" w:color="auto"/>
              <w:bottom w:val="single" w:sz="12" w:space="0" w:color="auto"/>
              <w:right w:val="single" w:sz="12" w:space="0" w:color="auto"/>
            </w:tcBorders>
            <w:vAlign w:val="center"/>
          </w:tcPr>
          <w:p w:rsidR="002C5F1E" w:rsidRPr="001A7338" w:rsidRDefault="002C5F1E" w:rsidP="00BE120C">
            <w:pPr>
              <w:pBdr>
                <w:bottom w:val="single" w:sz="12" w:space="1" w:color="auto"/>
              </w:pBdr>
              <w:spacing w:after="0" w:line="240" w:lineRule="auto"/>
              <w:jc w:val="center"/>
              <w:rPr>
                <w:b/>
                <w:sz w:val="24"/>
                <w:szCs w:val="24"/>
              </w:rPr>
            </w:pPr>
            <w:r w:rsidRPr="001A7338">
              <w:rPr>
                <w:b/>
                <w:sz w:val="24"/>
                <w:szCs w:val="24"/>
              </w:rPr>
              <w:t>ENGAGEMENT</w:t>
            </w:r>
          </w:p>
          <w:p w:rsidR="002C5F1E" w:rsidRPr="009A3E5A" w:rsidRDefault="002C5F1E" w:rsidP="00BE120C">
            <w:pPr>
              <w:spacing w:after="0" w:line="240" w:lineRule="auto"/>
              <w:jc w:val="center"/>
              <w:rPr>
                <w:sz w:val="18"/>
                <w:szCs w:val="18"/>
              </w:rPr>
            </w:pPr>
            <w:r w:rsidRPr="009A3E5A">
              <w:rPr>
                <w:sz w:val="18"/>
                <w:szCs w:val="18"/>
              </w:rPr>
              <w:t xml:space="preserve">Relationships, respect for diversity and school participation across the educational system.  </w:t>
            </w:r>
          </w:p>
          <w:p w:rsidR="002C5F1E" w:rsidRPr="001A7338" w:rsidRDefault="002C5F1E" w:rsidP="00BE120C">
            <w:pPr>
              <w:spacing w:after="0" w:line="240" w:lineRule="auto"/>
              <w:ind w:left="-72" w:right="-100"/>
              <w:jc w:val="center"/>
              <w:rPr>
                <w:b/>
                <w:sz w:val="20"/>
                <w:szCs w:val="20"/>
              </w:rPr>
            </w:pPr>
            <w:r w:rsidRPr="001A7338">
              <w:rPr>
                <w:b/>
                <w:sz w:val="18"/>
                <w:szCs w:val="18"/>
              </w:rPr>
              <w:t>Total Points Possible: 18</w:t>
            </w:r>
          </w:p>
        </w:tc>
        <w:tc>
          <w:tcPr>
            <w:tcW w:w="364" w:type="dxa"/>
            <w:tcBorders>
              <w:left w:val="single" w:sz="12" w:space="0" w:color="auto"/>
              <w:right w:val="single" w:sz="12" w:space="0" w:color="auto"/>
            </w:tcBorders>
            <w:vAlign w:val="center"/>
          </w:tcPr>
          <w:p w:rsidR="002C5F1E" w:rsidRDefault="002C5F1E" w:rsidP="00BE120C">
            <w:pPr>
              <w:spacing w:after="0" w:line="240" w:lineRule="auto"/>
              <w:jc w:val="center"/>
              <w:rPr>
                <w:sz w:val="20"/>
                <w:szCs w:val="20"/>
              </w:rPr>
            </w:pPr>
          </w:p>
        </w:tc>
        <w:tc>
          <w:tcPr>
            <w:tcW w:w="2336" w:type="dxa"/>
            <w:tcBorders>
              <w:top w:val="single" w:sz="12" w:space="0" w:color="auto"/>
              <w:left w:val="single" w:sz="12" w:space="0" w:color="auto"/>
              <w:bottom w:val="single" w:sz="12" w:space="0" w:color="auto"/>
              <w:right w:val="single" w:sz="12" w:space="0" w:color="auto"/>
            </w:tcBorders>
            <w:vAlign w:val="center"/>
          </w:tcPr>
          <w:p w:rsidR="002C5F1E" w:rsidRPr="001A7338" w:rsidRDefault="002C5F1E" w:rsidP="00BE120C">
            <w:pPr>
              <w:pBdr>
                <w:bottom w:val="single" w:sz="12" w:space="1" w:color="auto"/>
              </w:pBdr>
              <w:spacing w:after="0" w:line="240" w:lineRule="auto"/>
              <w:jc w:val="center"/>
              <w:rPr>
                <w:b/>
                <w:sz w:val="24"/>
                <w:szCs w:val="24"/>
              </w:rPr>
            </w:pPr>
            <w:r w:rsidRPr="001A7338">
              <w:rPr>
                <w:b/>
                <w:sz w:val="24"/>
                <w:szCs w:val="24"/>
              </w:rPr>
              <w:t>ENVIRONMENT</w:t>
            </w:r>
          </w:p>
          <w:p w:rsidR="002C5F1E" w:rsidRPr="001A7338" w:rsidRDefault="002C5F1E" w:rsidP="00BE120C">
            <w:pPr>
              <w:spacing w:after="0" w:line="240" w:lineRule="auto"/>
              <w:jc w:val="center"/>
              <w:rPr>
                <w:sz w:val="18"/>
                <w:szCs w:val="18"/>
              </w:rPr>
            </w:pPr>
            <w:r w:rsidRPr="001A7338">
              <w:rPr>
                <w:sz w:val="18"/>
                <w:szCs w:val="18"/>
              </w:rPr>
              <w:t>Physical structure, resources available and discipline environment in the educational system.</w:t>
            </w:r>
          </w:p>
          <w:p w:rsidR="002C5F1E" w:rsidRDefault="002C5F1E" w:rsidP="00BE120C">
            <w:pPr>
              <w:spacing w:after="0" w:line="240" w:lineRule="auto"/>
              <w:ind w:left="-14"/>
              <w:jc w:val="center"/>
              <w:rPr>
                <w:sz w:val="20"/>
                <w:szCs w:val="20"/>
              </w:rPr>
            </w:pPr>
            <w:r w:rsidRPr="001A7338">
              <w:rPr>
                <w:b/>
                <w:sz w:val="18"/>
                <w:szCs w:val="18"/>
              </w:rPr>
              <w:t>Total Points Possible: 9</w:t>
            </w:r>
          </w:p>
        </w:tc>
      </w:tr>
      <w:tr w:rsidR="002C5F1E" w:rsidRPr="00945D55" w:rsidTr="00BE120C">
        <w:tc>
          <w:tcPr>
            <w:tcW w:w="1725" w:type="dxa"/>
          </w:tcPr>
          <w:p w:rsidR="002C5F1E" w:rsidRPr="00945D55" w:rsidRDefault="002C5F1E" w:rsidP="00BE120C">
            <w:pPr>
              <w:spacing w:after="0" w:line="360" w:lineRule="auto"/>
              <w:rPr>
                <w:noProof/>
                <w:sz w:val="16"/>
                <w:szCs w:val="16"/>
                <w:lang w:eastAsia="zh-TW"/>
              </w:rPr>
            </w:pPr>
          </w:p>
        </w:tc>
        <w:tc>
          <w:tcPr>
            <w:tcW w:w="435" w:type="dxa"/>
          </w:tcPr>
          <w:p w:rsidR="002C5F1E" w:rsidRPr="00945D55" w:rsidRDefault="002C5F1E" w:rsidP="00BE120C">
            <w:pPr>
              <w:spacing w:after="0" w:line="360" w:lineRule="auto"/>
              <w:rPr>
                <w:sz w:val="16"/>
                <w:szCs w:val="16"/>
              </w:rPr>
            </w:pPr>
          </w:p>
        </w:tc>
        <w:tc>
          <w:tcPr>
            <w:tcW w:w="2340" w:type="dxa"/>
            <w:tcBorders>
              <w:top w:val="single" w:sz="12" w:space="0" w:color="auto"/>
            </w:tcBorders>
            <w:vAlign w:val="center"/>
          </w:tcPr>
          <w:p w:rsidR="002C5F1E" w:rsidRPr="00945D55" w:rsidRDefault="005939A1" w:rsidP="00BE120C">
            <w:pPr>
              <w:spacing w:after="0" w:line="360" w:lineRule="auto"/>
              <w:jc w:val="center"/>
              <w:rPr>
                <w:sz w:val="16"/>
                <w:szCs w:val="16"/>
              </w:rPr>
            </w:pPr>
            <w:r>
              <w:rPr>
                <w:noProof/>
                <w:sz w:val="16"/>
                <w:szCs w:val="16"/>
              </w:rPr>
              <mc:AlternateContent>
                <mc:Choice Requires="wps">
                  <w:drawing>
                    <wp:anchor distT="0" distB="0" distL="114295" distR="114295" simplePos="0" relativeHeight="251665408" behindDoc="0" locked="0" layoutInCell="1" allowOverlap="1">
                      <wp:simplePos x="0" y="0"/>
                      <wp:positionH relativeFrom="column">
                        <wp:posOffset>617219</wp:posOffset>
                      </wp:positionH>
                      <wp:positionV relativeFrom="paragraph">
                        <wp:posOffset>3810</wp:posOffset>
                      </wp:positionV>
                      <wp:extent cx="0" cy="469265"/>
                      <wp:effectExtent l="50800" t="0" r="76200" b="64135"/>
                      <wp:wrapNone/>
                      <wp:docPr id="397"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9" o:spid="_x0000_s1026" type="#_x0000_t32" style="position:absolute;margin-left:48.6pt;margin-top:.3pt;width:0;height:36.95pt;z-index:251665408;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">
                      <v:stroke endarrow="block"/>
                    </v:shape>
                  </w:pict>
                </mc:Fallback>
              </mc:AlternateContent>
            </w:r>
          </w:p>
        </w:tc>
        <w:tc>
          <w:tcPr>
            <w:tcW w:w="351" w:type="dxa"/>
            <w:vAlign w:val="center"/>
          </w:tcPr>
          <w:p w:rsidR="002C5F1E" w:rsidRPr="00945D55" w:rsidRDefault="002C5F1E" w:rsidP="00BE120C">
            <w:pPr>
              <w:spacing w:after="0" w:line="360" w:lineRule="auto"/>
              <w:jc w:val="center"/>
              <w:rPr>
                <w:sz w:val="16"/>
                <w:szCs w:val="16"/>
              </w:rPr>
            </w:pPr>
          </w:p>
        </w:tc>
        <w:tc>
          <w:tcPr>
            <w:tcW w:w="2349" w:type="dxa"/>
            <w:tcBorders>
              <w:top w:val="single" w:sz="12" w:space="0" w:color="auto"/>
            </w:tcBorders>
            <w:vAlign w:val="center"/>
          </w:tcPr>
          <w:p w:rsidR="002C5F1E" w:rsidRPr="00945D55" w:rsidRDefault="005939A1" w:rsidP="00BE120C">
            <w:pPr>
              <w:spacing w:after="0" w:line="360" w:lineRule="auto"/>
              <w:jc w:val="center"/>
              <w:rPr>
                <w:sz w:val="16"/>
                <w:szCs w:val="16"/>
              </w:rPr>
            </w:pPr>
            <w:r>
              <w:rPr>
                <w:noProof/>
                <w:sz w:val="16"/>
                <w:szCs w:val="16"/>
              </w:rPr>
              <mc:AlternateContent>
                <mc:Choice Requires="wps">
                  <w:drawing>
                    <wp:anchor distT="0" distB="0" distL="114295" distR="114295" simplePos="0" relativeHeight="251666432" behindDoc="0" locked="0" layoutInCell="1" allowOverlap="1">
                      <wp:simplePos x="0" y="0"/>
                      <wp:positionH relativeFrom="column">
                        <wp:posOffset>653414</wp:posOffset>
                      </wp:positionH>
                      <wp:positionV relativeFrom="paragraph">
                        <wp:posOffset>3810</wp:posOffset>
                      </wp:positionV>
                      <wp:extent cx="0" cy="469265"/>
                      <wp:effectExtent l="50800" t="0" r="76200" b="64135"/>
                      <wp:wrapNone/>
                      <wp:docPr id="396"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8" o:spid="_x0000_s1026" type="#_x0000_t32" style="position:absolute;margin-left:51.45pt;margin-top:.3pt;width:0;height:36.95pt;z-index:251666432;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">
                      <v:stroke endarrow="block"/>
                    </v:shape>
                  </w:pict>
                </mc:Fallback>
              </mc:AlternateContent>
            </w:r>
          </w:p>
        </w:tc>
        <w:tc>
          <w:tcPr>
            <w:tcW w:w="364" w:type="dxa"/>
            <w:vAlign w:val="center"/>
          </w:tcPr>
          <w:p w:rsidR="002C5F1E" w:rsidRPr="00945D55" w:rsidRDefault="002C5F1E" w:rsidP="00BE120C">
            <w:pPr>
              <w:spacing w:after="0" w:line="360" w:lineRule="auto"/>
              <w:jc w:val="center"/>
              <w:rPr>
                <w:sz w:val="16"/>
                <w:szCs w:val="16"/>
              </w:rPr>
            </w:pPr>
          </w:p>
        </w:tc>
        <w:tc>
          <w:tcPr>
            <w:tcW w:w="2336" w:type="dxa"/>
            <w:tcBorders>
              <w:top w:val="single" w:sz="12" w:space="0" w:color="auto"/>
            </w:tcBorders>
            <w:vAlign w:val="center"/>
          </w:tcPr>
          <w:p w:rsidR="002C5F1E" w:rsidRPr="00945D55" w:rsidRDefault="005939A1" w:rsidP="00BE120C">
            <w:pPr>
              <w:spacing w:after="0" w:line="360" w:lineRule="auto"/>
              <w:jc w:val="center"/>
              <w:rPr>
                <w:sz w:val="16"/>
                <w:szCs w:val="16"/>
              </w:rPr>
            </w:pPr>
            <w:r>
              <w:rPr>
                <w:noProof/>
                <w:sz w:val="16"/>
                <w:szCs w:val="16"/>
              </w:rPr>
              <mc:AlternateContent>
                <mc:Choice Requires="wps">
                  <w:drawing>
                    <wp:anchor distT="0" distB="0" distL="114300" distR="114300" simplePos="0" relativeHeight="251667456" behindDoc="0" locked="0" layoutInCell="1" allowOverlap="1">
                      <wp:simplePos x="0" y="0"/>
                      <wp:positionH relativeFrom="column">
                        <wp:posOffset>687705</wp:posOffset>
                      </wp:positionH>
                      <wp:positionV relativeFrom="paragraph">
                        <wp:posOffset>3810</wp:posOffset>
                      </wp:positionV>
                      <wp:extent cx="8890" cy="469265"/>
                      <wp:effectExtent l="50800" t="0" r="92710" b="64135"/>
                      <wp:wrapNone/>
                      <wp:docPr id="39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7" o:spid="_x0000_s1026" type="#_x0000_t32" style="position:absolute;margin-left:54.15pt;margin-top:.3pt;width:.7pt;height:3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">
                      <v:stroke endarrow="block"/>
                    </v:shape>
                  </w:pict>
                </mc:Fallback>
              </mc:AlternateContent>
            </w:r>
          </w:p>
        </w:tc>
      </w:tr>
      <w:tr w:rsidR="002C5F1E" w:rsidRPr="00945D55" w:rsidTr="00BE120C">
        <w:tc>
          <w:tcPr>
            <w:tcW w:w="1725" w:type="dxa"/>
          </w:tcPr>
          <w:p w:rsidR="002C5F1E" w:rsidRPr="00945D55" w:rsidRDefault="002C5F1E" w:rsidP="00BE120C">
            <w:pPr>
              <w:spacing w:after="0" w:line="360" w:lineRule="auto"/>
              <w:rPr>
                <w:noProof/>
                <w:sz w:val="16"/>
                <w:szCs w:val="16"/>
                <w:lang w:eastAsia="zh-TW"/>
              </w:rPr>
            </w:pPr>
          </w:p>
        </w:tc>
        <w:tc>
          <w:tcPr>
            <w:tcW w:w="435" w:type="dxa"/>
          </w:tcPr>
          <w:p w:rsidR="002C5F1E" w:rsidRPr="00945D55" w:rsidRDefault="002C5F1E" w:rsidP="00BE120C">
            <w:pPr>
              <w:spacing w:after="0" w:line="360" w:lineRule="auto"/>
              <w:rPr>
                <w:sz w:val="16"/>
                <w:szCs w:val="16"/>
              </w:rPr>
            </w:pPr>
          </w:p>
        </w:tc>
        <w:tc>
          <w:tcPr>
            <w:tcW w:w="2340" w:type="dxa"/>
            <w:vAlign w:val="center"/>
          </w:tcPr>
          <w:p w:rsidR="002C5F1E" w:rsidRPr="00945D55" w:rsidRDefault="002C5F1E" w:rsidP="00BE120C">
            <w:pPr>
              <w:spacing w:after="0" w:line="360" w:lineRule="auto"/>
              <w:jc w:val="center"/>
              <w:rPr>
                <w:sz w:val="16"/>
                <w:szCs w:val="16"/>
              </w:rPr>
            </w:pPr>
          </w:p>
        </w:tc>
        <w:tc>
          <w:tcPr>
            <w:tcW w:w="351" w:type="dxa"/>
            <w:vAlign w:val="center"/>
          </w:tcPr>
          <w:p w:rsidR="002C5F1E" w:rsidRPr="00945D55" w:rsidRDefault="002C5F1E" w:rsidP="00BE120C">
            <w:pPr>
              <w:spacing w:after="0" w:line="360" w:lineRule="auto"/>
              <w:jc w:val="center"/>
              <w:rPr>
                <w:sz w:val="16"/>
                <w:szCs w:val="16"/>
              </w:rPr>
            </w:pPr>
          </w:p>
        </w:tc>
        <w:tc>
          <w:tcPr>
            <w:tcW w:w="2349" w:type="dxa"/>
            <w:vAlign w:val="center"/>
          </w:tcPr>
          <w:p w:rsidR="002C5F1E" w:rsidRPr="00945D55" w:rsidRDefault="002C5F1E" w:rsidP="00BE120C">
            <w:pPr>
              <w:spacing w:after="0" w:line="360" w:lineRule="auto"/>
              <w:jc w:val="center"/>
              <w:rPr>
                <w:sz w:val="16"/>
                <w:szCs w:val="16"/>
              </w:rPr>
            </w:pPr>
          </w:p>
        </w:tc>
        <w:tc>
          <w:tcPr>
            <w:tcW w:w="364" w:type="dxa"/>
            <w:vAlign w:val="center"/>
          </w:tcPr>
          <w:p w:rsidR="002C5F1E" w:rsidRPr="00945D55" w:rsidRDefault="002C5F1E" w:rsidP="00BE120C">
            <w:pPr>
              <w:spacing w:after="0" w:line="360" w:lineRule="auto"/>
              <w:jc w:val="center"/>
              <w:rPr>
                <w:sz w:val="16"/>
                <w:szCs w:val="16"/>
              </w:rPr>
            </w:pPr>
          </w:p>
        </w:tc>
        <w:tc>
          <w:tcPr>
            <w:tcW w:w="2336" w:type="dxa"/>
            <w:vAlign w:val="center"/>
          </w:tcPr>
          <w:p w:rsidR="002C5F1E" w:rsidRPr="00945D55" w:rsidRDefault="002C5F1E" w:rsidP="00BE120C">
            <w:pPr>
              <w:spacing w:after="0" w:line="360" w:lineRule="auto"/>
              <w:jc w:val="center"/>
              <w:rPr>
                <w:sz w:val="16"/>
                <w:szCs w:val="16"/>
              </w:rPr>
            </w:pPr>
          </w:p>
        </w:tc>
      </w:tr>
      <w:tr w:rsidR="002C5F1E" w:rsidRPr="00945D55" w:rsidTr="00BE120C">
        <w:tc>
          <w:tcPr>
            <w:tcW w:w="1725" w:type="dxa"/>
          </w:tcPr>
          <w:p w:rsidR="002C5F1E" w:rsidRPr="00945D55" w:rsidRDefault="002C5F1E" w:rsidP="00BE120C">
            <w:pPr>
              <w:spacing w:after="0" w:line="360" w:lineRule="auto"/>
              <w:rPr>
                <w:noProof/>
                <w:sz w:val="16"/>
                <w:szCs w:val="16"/>
                <w:lang w:eastAsia="zh-TW"/>
              </w:rPr>
            </w:pPr>
          </w:p>
        </w:tc>
        <w:tc>
          <w:tcPr>
            <w:tcW w:w="435" w:type="dxa"/>
          </w:tcPr>
          <w:p w:rsidR="002C5F1E" w:rsidRPr="00945D55" w:rsidRDefault="002C5F1E" w:rsidP="00BE120C">
            <w:pPr>
              <w:spacing w:after="0" w:line="360" w:lineRule="auto"/>
              <w:rPr>
                <w:sz w:val="16"/>
                <w:szCs w:val="16"/>
              </w:rPr>
            </w:pPr>
          </w:p>
        </w:tc>
        <w:tc>
          <w:tcPr>
            <w:tcW w:w="2340" w:type="dxa"/>
            <w:tcBorders>
              <w:bottom w:val="single" w:sz="4" w:space="0" w:color="auto"/>
            </w:tcBorders>
            <w:vAlign w:val="center"/>
          </w:tcPr>
          <w:p w:rsidR="002C5F1E" w:rsidRPr="00945D55" w:rsidRDefault="002C5F1E" w:rsidP="00BE120C">
            <w:pPr>
              <w:spacing w:after="0" w:line="360" w:lineRule="auto"/>
              <w:jc w:val="center"/>
              <w:rPr>
                <w:sz w:val="16"/>
                <w:szCs w:val="16"/>
              </w:rPr>
            </w:pPr>
          </w:p>
        </w:tc>
        <w:tc>
          <w:tcPr>
            <w:tcW w:w="351" w:type="dxa"/>
            <w:vAlign w:val="center"/>
          </w:tcPr>
          <w:p w:rsidR="002C5F1E" w:rsidRPr="00945D55" w:rsidRDefault="002C5F1E" w:rsidP="00BE120C">
            <w:pPr>
              <w:spacing w:after="0" w:line="360" w:lineRule="auto"/>
              <w:jc w:val="center"/>
              <w:rPr>
                <w:sz w:val="16"/>
                <w:szCs w:val="16"/>
              </w:rPr>
            </w:pPr>
          </w:p>
        </w:tc>
        <w:tc>
          <w:tcPr>
            <w:tcW w:w="2349" w:type="dxa"/>
            <w:tcBorders>
              <w:bottom w:val="single" w:sz="4" w:space="0" w:color="auto"/>
            </w:tcBorders>
            <w:vAlign w:val="center"/>
          </w:tcPr>
          <w:p w:rsidR="002C5F1E" w:rsidRPr="00945D55" w:rsidRDefault="002C5F1E" w:rsidP="00BE120C">
            <w:pPr>
              <w:spacing w:after="0" w:line="360" w:lineRule="auto"/>
              <w:jc w:val="center"/>
              <w:rPr>
                <w:sz w:val="16"/>
                <w:szCs w:val="16"/>
              </w:rPr>
            </w:pPr>
          </w:p>
        </w:tc>
        <w:tc>
          <w:tcPr>
            <w:tcW w:w="364" w:type="dxa"/>
            <w:vAlign w:val="center"/>
          </w:tcPr>
          <w:p w:rsidR="002C5F1E" w:rsidRPr="00945D55" w:rsidRDefault="002C5F1E" w:rsidP="00BE120C">
            <w:pPr>
              <w:spacing w:after="0" w:line="360" w:lineRule="auto"/>
              <w:jc w:val="center"/>
              <w:rPr>
                <w:sz w:val="16"/>
                <w:szCs w:val="16"/>
              </w:rPr>
            </w:pPr>
          </w:p>
        </w:tc>
        <w:tc>
          <w:tcPr>
            <w:tcW w:w="2336" w:type="dxa"/>
            <w:tcBorders>
              <w:bottom w:val="single" w:sz="4" w:space="0" w:color="auto"/>
            </w:tcBorders>
            <w:vAlign w:val="center"/>
          </w:tcPr>
          <w:p w:rsidR="002C5F1E" w:rsidRPr="00945D55" w:rsidRDefault="002C5F1E" w:rsidP="00BE120C">
            <w:pPr>
              <w:spacing w:after="0" w:line="360" w:lineRule="auto"/>
              <w:jc w:val="center"/>
              <w:rPr>
                <w:sz w:val="16"/>
                <w:szCs w:val="16"/>
              </w:rPr>
            </w:pPr>
          </w:p>
        </w:tc>
      </w:tr>
      <w:tr w:rsidR="002C5F1E" w:rsidRPr="00945D55" w:rsidTr="00BE120C">
        <w:tc>
          <w:tcPr>
            <w:tcW w:w="1725" w:type="dxa"/>
          </w:tcPr>
          <w:p w:rsidR="002C5F1E" w:rsidRPr="00945D55" w:rsidRDefault="005939A1" w:rsidP="00BE120C">
            <w:pPr>
              <w:spacing w:after="0" w:line="360" w:lineRule="auto"/>
              <w:rPr>
                <w:noProof/>
                <w:sz w:val="16"/>
                <w:szCs w:val="16"/>
                <w:lang w:eastAsia="zh-TW"/>
              </w:rPr>
            </w:pPr>
            <w:r>
              <w:rPr>
                <w:noProof/>
                <w:sz w:val="16"/>
                <w:szCs w:val="16"/>
              </w:rPr>
              <mc:AlternateContent>
                <mc:Choice Requires="wps">
                  <w:drawing>
                    <wp:anchor distT="0" distB="0" distL="114300" distR="114300" simplePos="0" relativeHeight="251668480" behindDoc="0" locked="0" layoutInCell="1" allowOverlap="1">
                      <wp:simplePos x="0" y="0"/>
                      <wp:positionH relativeFrom="column">
                        <wp:posOffset>-93980</wp:posOffset>
                      </wp:positionH>
                      <wp:positionV relativeFrom="paragraph">
                        <wp:posOffset>1270</wp:posOffset>
                      </wp:positionV>
                      <wp:extent cx="1281430" cy="914400"/>
                      <wp:effectExtent l="0" t="50800" r="39370" b="76200"/>
                      <wp:wrapNone/>
                      <wp:docPr id="394"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914400"/>
                              </a:xfrm>
                              <a:prstGeom prst="rightArrow">
                                <a:avLst>
                                  <a:gd name="adj1" fmla="val 50000"/>
                                  <a:gd name="adj2" fmla="val 35035"/>
                                </a:avLst>
                              </a:prstGeom>
                              <a:solidFill>
                                <a:schemeClr val="tx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Right Arrow 6" o:spid="_x0000_s1026" type="#_x0000_t13" style="position:absolute;margin-left:-7.35pt;margin-top:.1pt;width:100.9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" fillcolor="#c6d9f1 [671]"/>
                  </w:pict>
                </mc:Fallback>
              </mc:AlternateContent>
            </w:r>
          </w:p>
        </w:tc>
        <w:tc>
          <w:tcPr>
            <w:tcW w:w="435" w:type="dxa"/>
            <w:tcBorders>
              <w:right w:val="single" w:sz="4" w:space="0" w:color="auto"/>
            </w:tcBorders>
          </w:tcPr>
          <w:p w:rsidR="002C5F1E" w:rsidRPr="00945D55" w:rsidRDefault="002C5F1E" w:rsidP="00BE120C">
            <w:pPr>
              <w:spacing w:after="0" w:line="360" w:lineRule="auto"/>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5F1E" w:rsidRPr="002E1D1C" w:rsidRDefault="002C5F1E" w:rsidP="00BE120C">
            <w:pPr>
              <w:spacing w:after="0" w:line="360" w:lineRule="auto"/>
              <w:jc w:val="center"/>
              <w:rPr>
                <w:sz w:val="21"/>
                <w:szCs w:val="21"/>
              </w:rPr>
            </w:pPr>
            <w:r w:rsidRPr="002E1D1C">
              <w:rPr>
                <w:sz w:val="21"/>
                <w:szCs w:val="21"/>
              </w:rPr>
              <w:t>Physical Safety</w:t>
            </w:r>
          </w:p>
        </w:tc>
        <w:tc>
          <w:tcPr>
            <w:tcW w:w="351" w:type="dxa"/>
            <w:tcBorders>
              <w:left w:val="single" w:sz="4" w:space="0" w:color="auto"/>
              <w:right w:val="single" w:sz="4" w:space="0" w:color="auto"/>
            </w:tcBorders>
            <w:vAlign w:val="center"/>
          </w:tcPr>
          <w:p w:rsidR="002C5F1E" w:rsidRPr="002E1D1C" w:rsidRDefault="002C5F1E" w:rsidP="00BE120C">
            <w:pPr>
              <w:spacing w:after="0" w:line="360" w:lineRule="auto"/>
              <w:jc w:val="center"/>
              <w:rPr>
                <w:sz w:val="21"/>
                <w:szCs w:val="21"/>
              </w:rPr>
            </w:pPr>
          </w:p>
        </w:tc>
        <w:tc>
          <w:tcPr>
            <w:tcW w:w="234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5F1E" w:rsidRPr="002E1D1C" w:rsidRDefault="002C5F1E" w:rsidP="00BE120C">
            <w:pPr>
              <w:spacing w:after="0" w:line="360" w:lineRule="auto"/>
              <w:jc w:val="center"/>
              <w:rPr>
                <w:sz w:val="21"/>
                <w:szCs w:val="21"/>
              </w:rPr>
            </w:pPr>
            <w:r w:rsidRPr="002E1D1C">
              <w:rPr>
                <w:sz w:val="21"/>
                <w:szCs w:val="21"/>
              </w:rPr>
              <w:t>Diversity</w:t>
            </w:r>
          </w:p>
        </w:tc>
        <w:tc>
          <w:tcPr>
            <w:tcW w:w="364" w:type="dxa"/>
            <w:tcBorders>
              <w:left w:val="single" w:sz="4" w:space="0" w:color="auto"/>
              <w:right w:val="single" w:sz="4" w:space="0" w:color="auto"/>
            </w:tcBorders>
            <w:vAlign w:val="center"/>
          </w:tcPr>
          <w:p w:rsidR="002C5F1E" w:rsidRPr="002E1D1C" w:rsidRDefault="002C5F1E" w:rsidP="00BE120C">
            <w:pPr>
              <w:spacing w:after="0" w:line="360" w:lineRule="auto"/>
              <w:jc w:val="center"/>
              <w:rPr>
                <w:sz w:val="21"/>
                <w:szCs w:val="21"/>
              </w:rPr>
            </w:pPr>
          </w:p>
        </w:tc>
        <w:tc>
          <w:tcPr>
            <w:tcW w:w="23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5F1E" w:rsidRPr="002E1D1C" w:rsidRDefault="002C5F1E" w:rsidP="00BE120C">
            <w:pPr>
              <w:spacing w:after="0" w:line="360" w:lineRule="auto"/>
              <w:jc w:val="center"/>
              <w:rPr>
                <w:sz w:val="21"/>
                <w:szCs w:val="21"/>
              </w:rPr>
            </w:pPr>
            <w:r w:rsidRPr="002E1D1C">
              <w:rPr>
                <w:sz w:val="21"/>
                <w:szCs w:val="21"/>
              </w:rPr>
              <w:t>Expectations</w:t>
            </w:r>
          </w:p>
        </w:tc>
      </w:tr>
      <w:tr w:rsidR="002C5F1E" w:rsidRPr="00945D55" w:rsidTr="00BE120C">
        <w:tc>
          <w:tcPr>
            <w:tcW w:w="1725" w:type="dxa"/>
          </w:tcPr>
          <w:p w:rsidR="002C5F1E" w:rsidRPr="00945D55" w:rsidRDefault="005939A1" w:rsidP="00BE120C">
            <w:pPr>
              <w:spacing w:after="0" w:line="360" w:lineRule="auto"/>
              <w:rPr>
                <w:noProof/>
                <w:sz w:val="16"/>
                <w:szCs w:val="16"/>
                <w:lang w:eastAsia="zh-TW"/>
              </w:rPr>
            </w:pPr>
            <w:r>
              <w:rPr>
                <w:noProof/>
                <w:sz w:val="16"/>
                <w:szCs w:val="16"/>
              </w:rPr>
              <mc:AlternateContent>
                <mc:Choice Requires="wps">
                  <w:drawing>
                    <wp:anchor distT="0" distB="0" distL="114300" distR="114300" simplePos="0" relativeHeight="251669504" behindDoc="0" locked="0" layoutInCell="1" allowOverlap="1">
                      <wp:simplePos x="0" y="0"/>
                      <wp:positionH relativeFrom="column">
                        <wp:posOffset>-161290</wp:posOffset>
                      </wp:positionH>
                      <wp:positionV relativeFrom="paragraph">
                        <wp:posOffset>8890</wp:posOffset>
                      </wp:positionV>
                      <wp:extent cx="1348740" cy="427355"/>
                      <wp:effectExtent l="0" t="0" r="0" b="4445"/>
                      <wp:wrapNone/>
                      <wp:docPr id="39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F1E" w:rsidRDefault="002C5F1E" w:rsidP="002C5F1E">
                                  <w:pPr>
                                    <w:jc w:val="center"/>
                                  </w:pPr>
                                  <w:r>
                                    <w:t>Survey Construct Data Elements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7" type="#_x0000_t202" style="position:absolute;margin-left:-12.65pt;margin-top:.7pt;width:106.2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" filled="f" stroked="f">
                      <v:textbox>
                        <w:txbxContent>
                          <w:p w:rsidR="002C5F1E" w:rsidRDefault="002C5F1E" w:rsidP="002C5F1E">
                            <w:pPr>
                              <w:jc w:val="center"/>
                            </w:pPr>
                            <w:r>
                              <w:t>Survey Construct Data Elements</w:t>
                            </w:r>
                          </w:p>
                        </w:txbxContent>
                      </v:textbox>
                    </v:shape>
                  </w:pict>
                </mc:Fallback>
              </mc:AlternateContent>
            </w:r>
          </w:p>
        </w:tc>
        <w:tc>
          <w:tcPr>
            <w:tcW w:w="435" w:type="dxa"/>
          </w:tcPr>
          <w:p w:rsidR="002C5F1E" w:rsidRPr="00945D55" w:rsidRDefault="002C5F1E" w:rsidP="00BE120C">
            <w:pPr>
              <w:spacing w:after="0" w:line="360" w:lineRule="auto"/>
              <w:rPr>
                <w:sz w:val="16"/>
                <w:szCs w:val="16"/>
              </w:rPr>
            </w:pPr>
          </w:p>
        </w:tc>
        <w:tc>
          <w:tcPr>
            <w:tcW w:w="2340" w:type="dxa"/>
            <w:tcBorders>
              <w:top w:val="single" w:sz="4" w:space="0" w:color="auto"/>
              <w:bottom w:val="single" w:sz="4" w:space="0" w:color="auto"/>
            </w:tcBorders>
            <w:vAlign w:val="center"/>
          </w:tcPr>
          <w:p w:rsidR="002C5F1E" w:rsidRPr="002E1D1C" w:rsidRDefault="002C5F1E" w:rsidP="00BE120C">
            <w:pPr>
              <w:spacing w:after="0" w:line="360" w:lineRule="auto"/>
              <w:jc w:val="center"/>
              <w:rPr>
                <w:sz w:val="21"/>
                <w:szCs w:val="21"/>
              </w:rPr>
            </w:pPr>
          </w:p>
        </w:tc>
        <w:tc>
          <w:tcPr>
            <w:tcW w:w="351" w:type="dxa"/>
            <w:vAlign w:val="center"/>
          </w:tcPr>
          <w:p w:rsidR="002C5F1E" w:rsidRPr="002E1D1C" w:rsidRDefault="002C5F1E" w:rsidP="00BE120C">
            <w:pPr>
              <w:spacing w:after="0" w:line="360" w:lineRule="auto"/>
              <w:jc w:val="center"/>
              <w:rPr>
                <w:sz w:val="21"/>
                <w:szCs w:val="21"/>
              </w:rPr>
            </w:pPr>
          </w:p>
        </w:tc>
        <w:tc>
          <w:tcPr>
            <w:tcW w:w="2349" w:type="dxa"/>
            <w:tcBorders>
              <w:top w:val="single" w:sz="4" w:space="0" w:color="auto"/>
              <w:bottom w:val="single" w:sz="4" w:space="0" w:color="auto"/>
            </w:tcBorders>
            <w:vAlign w:val="center"/>
          </w:tcPr>
          <w:p w:rsidR="002C5F1E" w:rsidRPr="002E1D1C" w:rsidRDefault="002C5F1E" w:rsidP="00BE120C">
            <w:pPr>
              <w:spacing w:after="0" w:line="360" w:lineRule="auto"/>
              <w:jc w:val="center"/>
              <w:rPr>
                <w:sz w:val="21"/>
                <w:szCs w:val="21"/>
              </w:rPr>
            </w:pPr>
          </w:p>
        </w:tc>
        <w:tc>
          <w:tcPr>
            <w:tcW w:w="364" w:type="dxa"/>
            <w:vAlign w:val="center"/>
          </w:tcPr>
          <w:p w:rsidR="002C5F1E" w:rsidRPr="002E1D1C" w:rsidRDefault="002C5F1E" w:rsidP="00BE120C">
            <w:pPr>
              <w:spacing w:after="0" w:line="360" w:lineRule="auto"/>
              <w:jc w:val="center"/>
              <w:rPr>
                <w:sz w:val="21"/>
                <w:szCs w:val="21"/>
              </w:rPr>
            </w:pPr>
          </w:p>
        </w:tc>
        <w:tc>
          <w:tcPr>
            <w:tcW w:w="2336" w:type="dxa"/>
            <w:tcBorders>
              <w:top w:val="single" w:sz="4" w:space="0" w:color="auto"/>
              <w:bottom w:val="single" w:sz="4" w:space="0" w:color="auto"/>
            </w:tcBorders>
            <w:vAlign w:val="center"/>
          </w:tcPr>
          <w:p w:rsidR="002C5F1E" w:rsidRPr="002E1D1C" w:rsidRDefault="002C5F1E" w:rsidP="00BE120C">
            <w:pPr>
              <w:spacing w:after="0" w:line="360" w:lineRule="auto"/>
              <w:jc w:val="center"/>
              <w:rPr>
                <w:sz w:val="21"/>
                <w:szCs w:val="21"/>
              </w:rPr>
            </w:pPr>
          </w:p>
        </w:tc>
      </w:tr>
      <w:tr w:rsidR="002C5F1E" w:rsidRPr="00945D55" w:rsidTr="00BE120C">
        <w:tc>
          <w:tcPr>
            <w:tcW w:w="1725" w:type="dxa"/>
          </w:tcPr>
          <w:p w:rsidR="002C5F1E" w:rsidRPr="00945D55" w:rsidRDefault="002C5F1E" w:rsidP="00BE120C">
            <w:pPr>
              <w:spacing w:after="0" w:line="360" w:lineRule="auto"/>
              <w:rPr>
                <w:noProof/>
                <w:sz w:val="16"/>
                <w:szCs w:val="16"/>
                <w:lang w:eastAsia="zh-TW"/>
              </w:rPr>
            </w:pPr>
          </w:p>
        </w:tc>
        <w:tc>
          <w:tcPr>
            <w:tcW w:w="435" w:type="dxa"/>
            <w:tcBorders>
              <w:right w:val="single" w:sz="4" w:space="0" w:color="auto"/>
            </w:tcBorders>
          </w:tcPr>
          <w:p w:rsidR="002C5F1E" w:rsidRPr="00945D55" w:rsidRDefault="002C5F1E" w:rsidP="00BE120C">
            <w:pPr>
              <w:spacing w:after="0" w:line="360" w:lineRule="auto"/>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5F1E" w:rsidRPr="002E1D1C" w:rsidRDefault="002C5F1E" w:rsidP="00BE120C">
            <w:pPr>
              <w:spacing w:after="0" w:line="360" w:lineRule="auto"/>
              <w:jc w:val="center"/>
              <w:rPr>
                <w:sz w:val="21"/>
                <w:szCs w:val="21"/>
              </w:rPr>
            </w:pPr>
            <w:r w:rsidRPr="002E1D1C">
              <w:rPr>
                <w:sz w:val="21"/>
                <w:szCs w:val="21"/>
              </w:rPr>
              <w:t>Emotional Safety</w:t>
            </w:r>
          </w:p>
        </w:tc>
        <w:tc>
          <w:tcPr>
            <w:tcW w:w="351" w:type="dxa"/>
            <w:tcBorders>
              <w:left w:val="single" w:sz="4" w:space="0" w:color="auto"/>
              <w:right w:val="single" w:sz="4" w:space="0" w:color="auto"/>
            </w:tcBorders>
            <w:vAlign w:val="center"/>
          </w:tcPr>
          <w:p w:rsidR="002C5F1E" w:rsidRPr="002E1D1C" w:rsidRDefault="002C5F1E" w:rsidP="00BE120C">
            <w:pPr>
              <w:spacing w:after="0" w:line="360" w:lineRule="auto"/>
              <w:jc w:val="center"/>
              <w:rPr>
                <w:sz w:val="21"/>
                <w:szCs w:val="21"/>
              </w:rPr>
            </w:pPr>
          </w:p>
        </w:tc>
        <w:tc>
          <w:tcPr>
            <w:tcW w:w="234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5F1E" w:rsidRPr="002E1D1C" w:rsidRDefault="002C5F1E" w:rsidP="00BE120C">
            <w:pPr>
              <w:spacing w:after="0" w:line="360" w:lineRule="auto"/>
              <w:jc w:val="center"/>
              <w:rPr>
                <w:sz w:val="21"/>
                <w:szCs w:val="21"/>
              </w:rPr>
            </w:pPr>
            <w:r w:rsidRPr="002E1D1C">
              <w:rPr>
                <w:sz w:val="21"/>
                <w:szCs w:val="21"/>
              </w:rPr>
              <w:t>Student-Student</w:t>
            </w:r>
          </w:p>
        </w:tc>
        <w:tc>
          <w:tcPr>
            <w:tcW w:w="364" w:type="dxa"/>
            <w:tcBorders>
              <w:left w:val="single" w:sz="4" w:space="0" w:color="auto"/>
              <w:right w:val="single" w:sz="4" w:space="0" w:color="auto"/>
            </w:tcBorders>
            <w:vAlign w:val="center"/>
          </w:tcPr>
          <w:p w:rsidR="002C5F1E" w:rsidRPr="002E1D1C" w:rsidRDefault="002C5F1E" w:rsidP="00BE120C">
            <w:pPr>
              <w:spacing w:after="0" w:line="360" w:lineRule="auto"/>
              <w:jc w:val="center"/>
              <w:rPr>
                <w:sz w:val="21"/>
                <w:szCs w:val="21"/>
              </w:rPr>
            </w:pPr>
          </w:p>
        </w:tc>
        <w:tc>
          <w:tcPr>
            <w:tcW w:w="23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5F1E" w:rsidRPr="002E1D1C" w:rsidRDefault="002C5F1E" w:rsidP="00BE120C">
            <w:pPr>
              <w:spacing w:after="0" w:line="360" w:lineRule="auto"/>
              <w:jc w:val="center"/>
              <w:rPr>
                <w:sz w:val="21"/>
                <w:szCs w:val="21"/>
              </w:rPr>
            </w:pPr>
            <w:r w:rsidRPr="002E1D1C">
              <w:rPr>
                <w:sz w:val="21"/>
                <w:szCs w:val="21"/>
              </w:rPr>
              <w:t>Physical Environment</w:t>
            </w:r>
          </w:p>
        </w:tc>
      </w:tr>
      <w:tr w:rsidR="002C5F1E" w:rsidRPr="00945D55" w:rsidTr="00BE120C">
        <w:tc>
          <w:tcPr>
            <w:tcW w:w="1725" w:type="dxa"/>
          </w:tcPr>
          <w:p w:rsidR="002C5F1E" w:rsidRPr="00945D55" w:rsidRDefault="002C5F1E" w:rsidP="00BE120C">
            <w:pPr>
              <w:spacing w:after="0" w:line="360" w:lineRule="auto"/>
              <w:rPr>
                <w:noProof/>
                <w:sz w:val="16"/>
                <w:szCs w:val="16"/>
                <w:lang w:eastAsia="zh-TW"/>
              </w:rPr>
            </w:pPr>
          </w:p>
        </w:tc>
        <w:tc>
          <w:tcPr>
            <w:tcW w:w="435" w:type="dxa"/>
          </w:tcPr>
          <w:p w:rsidR="002C5F1E" w:rsidRPr="00945D55" w:rsidRDefault="002C5F1E" w:rsidP="00BE120C">
            <w:pPr>
              <w:spacing w:after="0" w:line="360" w:lineRule="auto"/>
              <w:rPr>
                <w:sz w:val="16"/>
                <w:szCs w:val="16"/>
              </w:rPr>
            </w:pPr>
          </w:p>
        </w:tc>
        <w:tc>
          <w:tcPr>
            <w:tcW w:w="2340" w:type="dxa"/>
            <w:tcBorders>
              <w:top w:val="single" w:sz="4" w:space="0" w:color="auto"/>
            </w:tcBorders>
            <w:vAlign w:val="center"/>
          </w:tcPr>
          <w:p w:rsidR="002C5F1E" w:rsidRPr="002E1D1C" w:rsidRDefault="002C5F1E" w:rsidP="00BE120C">
            <w:pPr>
              <w:spacing w:after="0" w:line="360" w:lineRule="auto"/>
              <w:jc w:val="center"/>
              <w:rPr>
                <w:sz w:val="21"/>
                <w:szCs w:val="21"/>
              </w:rPr>
            </w:pPr>
          </w:p>
        </w:tc>
        <w:tc>
          <w:tcPr>
            <w:tcW w:w="351" w:type="dxa"/>
            <w:vAlign w:val="center"/>
          </w:tcPr>
          <w:p w:rsidR="002C5F1E" w:rsidRPr="002E1D1C" w:rsidRDefault="002C5F1E" w:rsidP="00BE120C">
            <w:pPr>
              <w:spacing w:after="0" w:line="360" w:lineRule="auto"/>
              <w:jc w:val="center"/>
              <w:rPr>
                <w:sz w:val="21"/>
                <w:szCs w:val="21"/>
              </w:rPr>
            </w:pPr>
          </w:p>
        </w:tc>
        <w:tc>
          <w:tcPr>
            <w:tcW w:w="2349" w:type="dxa"/>
            <w:tcBorders>
              <w:top w:val="single" w:sz="4" w:space="0" w:color="auto"/>
              <w:bottom w:val="single" w:sz="4" w:space="0" w:color="auto"/>
            </w:tcBorders>
            <w:vAlign w:val="center"/>
          </w:tcPr>
          <w:p w:rsidR="002C5F1E" w:rsidRPr="002E1D1C" w:rsidRDefault="002C5F1E" w:rsidP="00BE120C">
            <w:pPr>
              <w:spacing w:after="0" w:line="360" w:lineRule="auto"/>
              <w:jc w:val="center"/>
              <w:rPr>
                <w:sz w:val="21"/>
                <w:szCs w:val="21"/>
              </w:rPr>
            </w:pPr>
          </w:p>
        </w:tc>
        <w:tc>
          <w:tcPr>
            <w:tcW w:w="364" w:type="dxa"/>
            <w:vAlign w:val="center"/>
          </w:tcPr>
          <w:p w:rsidR="002C5F1E" w:rsidRPr="002E1D1C" w:rsidRDefault="002C5F1E" w:rsidP="00BE120C">
            <w:pPr>
              <w:spacing w:after="0" w:line="360" w:lineRule="auto"/>
              <w:jc w:val="center"/>
              <w:rPr>
                <w:sz w:val="21"/>
                <w:szCs w:val="21"/>
              </w:rPr>
            </w:pPr>
          </w:p>
        </w:tc>
        <w:tc>
          <w:tcPr>
            <w:tcW w:w="2336" w:type="dxa"/>
            <w:tcBorders>
              <w:top w:val="single" w:sz="4" w:space="0" w:color="auto"/>
            </w:tcBorders>
            <w:vAlign w:val="center"/>
          </w:tcPr>
          <w:p w:rsidR="002C5F1E" w:rsidRPr="002E1D1C" w:rsidRDefault="002C5F1E" w:rsidP="00BE120C">
            <w:pPr>
              <w:spacing w:after="0" w:line="360" w:lineRule="auto"/>
              <w:jc w:val="center"/>
              <w:rPr>
                <w:sz w:val="21"/>
                <w:szCs w:val="21"/>
              </w:rPr>
            </w:pPr>
          </w:p>
        </w:tc>
      </w:tr>
      <w:tr w:rsidR="002C5F1E" w:rsidRPr="00945D55" w:rsidTr="00BE120C">
        <w:tc>
          <w:tcPr>
            <w:tcW w:w="1725" w:type="dxa"/>
          </w:tcPr>
          <w:p w:rsidR="002C5F1E" w:rsidRPr="00945D55" w:rsidRDefault="002C5F1E" w:rsidP="00BE120C">
            <w:pPr>
              <w:spacing w:after="0" w:line="360" w:lineRule="auto"/>
              <w:rPr>
                <w:noProof/>
                <w:sz w:val="16"/>
                <w:szCs w:val="16"/>
                <w:lang w:eastAsia="zh-TW"/>
              </w:rPr>
            </w:pPr>
          </w:p>
        </w:tc>
        <w:tc>
          <w:tcPr>
            <w:tcW w:w="435" w:type="dxa"/>
          </w:tcPr>
          <w:p w:rsidR="002C5F1E" w:rsidRPr="00945D55" w:rsidRDefault="002C5F1E" w:rsidP="00BE120C">
            <w:pPr>
              <w:spacing w:after="0" w:line="360" w:lineRule="auto"/>
              <w:rPr>
                <w:sz w:val="16"/>
                <w:szCs w:val="16"/>
              </w:rPr>
            </w:pPr>
          </w:p>
        </w:tc>
        <w:tc>
          <w:tcPr>
            <w:tcW w:w="2340" w:type="dxa"/>
            <w:vAlign w:val="center"/>
          </w:tcPr>
          <w:p w:rsidR="002C5F1E" w:rsidRPr="002E1D1C" w:rsidRDefault="002C5F1E" w:rsidP="00BE120C">
            <w:pPr>
              <w:spacing w:after="0" w:line="360" w:lineRule="auto"/>
              <w:jc w:val="center"/>
              <w:rPr>
                <w:sz w:val="21"/>
                <w:szCs w:val="21"/>
              </w:rPr>
            </w:pPr>
          </w:p>
        </w:tc>
        <w:tc>
          <w:tcPr>
            <w:tcW w:w="351" w:type="dxa"/>
            <w:tcBorders>
              <w:right w:val="single" w:sz="4" w:space="0" w:color="auto"/>
            </w:tcBorders>
            <w:vAlign w:val="center"/>
          </w:tcPr>
          <w:p w:rsidR="002C5F1E" w:rsidRPr="002E1D1C" w:rsidRDefault="002C5F1E" w:rsidP="00BE120C">
            <w:pPr>
              <w:spacing w:after="0" w:line="360" w:lineRule="auto"/>
              <w:jc w:val="center"/>
              <w:rPr>
                <w:sz w:val="21"/>
                <w:szCs w:val="21"/>
              </w:rPr>
            </w:pPr>
          </w:p>
        </w:tc>
        <w:tc>
          <w:tcPr>
            <w:tcW w:w="234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5F1E" w:rsidRPr="002E1D1C" w:rsidRDefault="002C5F1E" w:rsidP="00BE120C">
            <w:pPr>
              <w:spacing w:after="0" w:line="360" w:lineRule="auto"/>
              <w:jc w:val="center"/>
              <w:rPr>
                <w:sz w:val="21"/>
                <w:szCs w:val="21"/>
              </w:rPr>
            </w:pPr>
            <w:r w:rsidRPr="002E1D1C">
              <w:rPr>
                <w:sz w:val="21"/>
                <w:szCs w:val="21"/>
              </w:rPr>
              <w:t>Adult-Student</w:t>
            </w:r>
          </w:p>
        </w:tc>
        <w:tc>
          <w:tcPr>
            <w:tcW w:w="364" w:type="dxa"/>
            <w:tcBorders>
              <w:left w:val="single" w:sz="4" w:space="0" w:color="auto"/>
            </w:tcBorders>
            <w:vAlign w:val="center"/>
          </w:tcPr>
          <w:p w:rsidR="002C5F1E" w:rsidRPr="002E1D1C" w:rsidRDefault="002C5F1E" w:rsidP="00BE120C">
            <w:pPr>
              <w:spacing w:after="0" w:line="360" w:lineRule="auto"/>
              <w:jc w:val="center"/>
              <w:rPr>
                <w:sz w:val="21"/>
                <w:szCs w:val="21"/>
              </w:rPr>
            </w:pPr>
          </w:p>
        </w:tc>
        <w:tc>
          <w:tcPr>
            <w:tcW w:w="2336" w:type="dxa"/>
            <w:vAlign w:val="center"/>
          </w:tcPr>
          <w:p w:rsidR="002C5F1E" w:rsidRPr="002E1D1C" w:rsidRDefault="002C5F1E" w:rsidP="00BE120C">
            <w:pPr>
              <w:spacing w:after="0" w:line="360" w:lineRule="auto"/>
              <w:ind w:left="-104"/>
              <w:jc w:val="center"/>
              <w:rPr>
                <w:sz w:val="21"/>
                <w:szCs w:val="21"/>
              </w:rPr>
            </w:pPr>
          </w:p>
        </w:tc>
      </w:tr>
      <w:tr w:rsidR="002C5F1E" w:rsidRPr="00004E69" w:rsidTr="00BE120C">
        <w:tc>
          <w:tcPr>
            <w:tcW w:w="1725" w:type="dxa"/>
          </w:tcPr>
          <w:p w:rsidR="002C5F1E" w:rsidRPr="00004E69" w:rsidRDefault="002C5F1E" w:rsidP="00BE120C">
            <w:pPr>
              <w:spacing w:after="0" w:line="240" w:lineRule="auto"/>
              <w:rPr>
                <w:noProof/>
                <w:sz w:val="16"/>
                <w:szCs w:val="16"/>
                <w:lang w:eastAsia="zh-TW"/>
              </w:rPr>
            </w:pPr>
          </w:p>
        </w:tc>
        <w:tc>
          <w:tcPr>
            <w:tcW w:w="435" w:type="dxa"/>
          </w:tcPr>
          <w:p w:rsidR="002C5F1E" w:rsidRPr="00004E69" w:rsidRDefault="002C5F1E" w:rsidP="00BE120C">
            <w:pPr>
              <w:spacing w:after="0" w:line="240" w:lineRule="auto"/>
              <w:rPr>
                <w:sz w:val="16"/>
                <w:szCs w:val="16"/>
              </w:rPr>
            </w:pPr>
          </w:p>
        </w:tc>
        <w:tc>
          <w:tcPr>
            <w:tcW w:w="2340" w:type="dxa"/>
            <w:vAlign w:val="center"/>
          </w:tcPr>
          <w:p w:rsidR="002C5F1E" w:rsidRPr="002E1D1C" w:rsidRDefault="002C5F1E" w:rsidP="00BE120C">
            <w:pPr>
              <w:spacing w:after="0" w:line="240" w:lineRule="auto"/>
              <w:jc w:val="center"/>
              <w:rPr>
                <w:sz w:val="21"/>
                <w:szCs w:val="21"/>
              </w:rPr>
            </w:pPr>
          </w:p>
        </w:tc>
        <w:tc>
          <w:tcPr>
            <w:tcW w:w="351" w:type="dxa"/>
            <w:vAlign w:val="center"/>
          </w:tcPr>
          <w:p w:rsidR="002C5F1E" w:rsidRPr="002E1D1C" w:rsidRDefault="002C5F1E" w:rsidP="00BE120C">
            <w:pPr>
              <w:spacing w:after="0" w:line="240" w:lineRule="auto"/>
              <w:jc w:val="center"/>
              <w:rPr>
                <w:sz w:val="21"/>
                <w:szCs w:val="21"/>
              </w:rPr>
            </w:pPr>
          </w:p>
        </w:tc>
        <w:tc>
          <w:tcPr>
            <w:tcW w:w="2349" w:type="dxa"/>
            <w:tcBorders>
              <w:top w:val="single" w:sz="4" w:space="0" w:color="auto"/>
            </w:tcBorders>
            <w:vAlign w:val="center"/>
          </w:tcPr>
          <w:p w:rsidR="002C5F1E" w:rsidRPr="002E1D1C" w:rsidRDefault="002C5F1E" w:rsidP="00BE120C">
            <w:pPr>
              <w:spacing w:after="0" w:line="240" w:lineRule="auto"/>
              <w:jc w:val="center"/>
              <w:rPr>
                <w:sz w:val="21"/>
                <w:szCs w:val="21"/>
              </w:rPr>
            </w:pPr>
          </w:p>
        </w:tc>
        <w:tc>
          <w:tcPr>
            <w:tcW w:w="364" w:type="dxa"/>
            <w:tcBorders>
              <w:left w:val="nil"/>
            </w:tcBorders>
            <w:vAlign w:val="center"/>
          </w:tcPr>
          <w:p w:rsidR="002C5F1E" w:rsidRPr="002E1D1C" w:rsidRDefault="002C5F1E" w:rsidP="00BE120C">
            <w:pPr>
              <w:spacing w:after="0" w:line="240" w:lineRule="auto"/>
              <w:jc w:val="center"/>
              <w:rPr>
                <w:sz w:val="21"/>
                <w:szCs w:val="21"/>
              </w:rPr>
            </w:pPr>
          </w:p>
        </w:tc>
        <w:tc>
          <w:tcPr>
            <w:tcW w:w="2336" w:type="dxa"/>
            <w:vAlign w:val="center"/>
          </w:tcPr>
          <w:p w:rsidR="002C5F1E" w:rsidRPr="002E1D1C" w:rsidRDefault="002C5F1E" w:rsidP="00BE120C">
            <w:pPr>
              <w:spacing w:after="0" w:line="240" w:lineRule="auto"/>
              <w:ind w:left="-104"/>
              <w:jc w:val="center"/>
              <w:rPr>
                <w:sz w:val="21"/>
                <w:szCs w:val="21"/>
              </w:rPr>
            </w:pPr>
          </w:p>
        </w:tc>
      </w:tr>
      <w:tr w:rsidR="002C5F1E" w:rsidRPr="00004E69" w:rsidTr="00BE120C">
        <w:tc>
          <w:tcPr>
            <w:tcW w:w="1725" w:type="dxa"/>
          </w:tcPr>
          <w:p w:rsidR="002C5F1E" w:rsidRPr="00004E69" w:rsidRDefault="002C5F1E" w:rsidP="00BE120C">
            <w:pPr>
              <w:spacing w:after="0" w:line="240" w:lineRule="auto"/>
              <w:rPr>
                <w:noProof/>
                <w:sz w:val="16"/>
                <w:szCs w:val="16"/>
                <w:lang w:eastAsia="zh-TW"/>
              </w:rPr>
            </w:pPr>
          </w:p>
        </w:tc>
        <w:tc>
          <w:tcPr>
            <w:tcW w:w="435" w:type="dxa"/>
          </w:tcPr>
          <w:p w:rsidR="002C5F1E" w:rsidRPr="00004E69" w:rsidRDefault="002C5F1E" w:rsidP="00BE120C">
            <w:pPr>
              <w:spacing w:after="0" w:line="240" w:lineRule="auto"/>
              <w:rPr>
                <w:sz w:val="16"/>
                <w:szCs w:val="16"/>
              </w:rPr>
            </w:pPr>
          </w:p>
        </w:tc>
        <w:tc>
          <w:tcPr>
            <w:tcW w:w="2340" w:type="dxa"/>
            <w:vAlign w:val="center"/>
          </w:tcPr>
          <w:p w:rsidR="002C5F1E" w:rsidRPr="002E1D1C" w:rsidRDefault="002C5F1E" w:rsidP="00BE120C">
            <w:pPr>
              <w:spacing w:after="0" w:line="240" w:lineRule="auto"/>
              <w:jc w:val="center"/>
              <w:rPr>
                <w:sz w:val="21"/>
                <w:szCs w:val="21"/>
              </w:rPr>
            </w:pPr>
          </w:p>
        </w:tc>
        <w:tc>
          <w:tcPr>
            <w:tcW w:w="351" w:type="dxa"/>
            <w:vAlign w:val="center"/>
          </w:tcPr>
          <w:p w:rsidR="002C5F1E" w:rsidRPr="002E1D1C" w:rsidRDefault="002C5F1E" w:rsidP="00BE120C">
            <w:pPr>
              <w:spacing w:after="0" w:line="240" w:lineRule="auto"/>
              <w:jc w:val="center"/>
              <w:rPr>
                <w:sz w:val="21"/>
                <w:szCs w:val="21"/>
              </w:rPr>
            </w:pPr>
          </w:p>
        </w:tc>
        <w:tc>
          <w:tcPr>
            <w:tcW w:w="2349" w:type="dxa"/>
            <w:vAlign w:val="center"/>
          </w:tcPr>
          <w:p w:rsidR="002C5F1E" w:rsidRPr="002E1D1C" w:rsidRDefault="002C5F1E" w:rsidP="00BE120C">
            <w:pPr>
              <w:spacing w:after="0" w:line="240" w:lineRule="auto"/>
              <w:jc w:val="center"/>
              <w:rPr>
                <w:sz w:val="21"/>
                <w:szCs w:val="21"/>
              </w:rPr>
            </w:pPr>
          </w:p>
        </w:tc>
        <w:tc>
          <w:tcPr>
            <w:tcW w:w="364" w:type="dxa"/>
            <w:tcBorders>
              <w:left w:val="nil"/>
            </w:tcBorders>
            <w:vAlign w:val="center"/>
          </w:tcPr>
          <w:p w:rsidR="002C5F1E" w:rsidRPr="002E1D1C" w:rsidRDefault="002C5F1E" w:rsidP="00BE120C">
            <w:pPr>
              <w:spacing w:after="0" w:line="240" w:lineRule="auto"/>
              <w:jc w:val="center"/>
              <w:rPr>
                <w:sz w:val="21"/>
                <w:szCs w:val="21"/>
              </w:rPr>
            </w:pPr>
          </w:p>
        </w:tc>
        <w:tc>
          <w:tcPr>
            <w:tcW w:w="2336" w:type="dxa"/>
            <w:vAlign w:val="center"/>
          </w:tcPr>
          <w:p w:rsidR="002C5F1E" w:rsidRPr="002E1D1C" w:rsidRDefault="002C5F1E" w:rsidP="00BE120C">
            <w:pPr>
              <w:spacing w:after="0" w:line="240" w:lineRule="auto"/>
              <w:ind w:left="-104"/>
              <w:jc w:val="center"/>
              <w:rPr>
                <w:sz w:val="21"/>
                <w:szCs w:val="21"/>
              </w:rPr>
            </w:pPr>
          </w:p>
        </w:tc>
      </w:tr>
      <w:tr w:rsidR="002C5F1E" w:rsidRPr="00004E69" w:rsidTr="00BE120C">
        <w:tc>
          <w:tcPr>
            <w:tcW w:w="1725" w:type="dxa"/>
          </w:tcPr>
          <w:p w:rsidR="002C5F1E" w:rsidRPr="00004E69" w:rsidRDefault="005939A1" w:rsidP="00BE120C">
            <w:pPr>
              <w:spacing w:after="0" w:line="360" w:lineRule="auto"/>
              <w:rPr>
                <w:noProof/>
                <w:sz w:val="16"/>
                <w:szCs w:val="16"/>
                <w:lang w:eastAsia="zh-TW"/>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-93980</wp:posOffset>
                      </wp:positionH>
                      <wp:positionV relativeFrom="paragraph">
                        <wp:posOffset>132715</wp:posOffset>
                      </wp:positionV>
                      <wp:extent cx="1281430" cy="914400"/>
                      <wp:effectExtent l="0" t="50800" r="39370" b="76200"/>
                      <wp:wrapNone/>
                      <wp:docPr id="392"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914400"/>
                              </a:xfrm>
                              <a:prstGeom prst="rightArrow">
                                <a:avLst>
                                  <a:gd name="adj1" fmla="val 50000"/>
                                  <a:gd name="adj2" fmla="val 35035"/>
                                </a:avLst>
                              </a:prstGeom>
                              <a:solidFill>
                                <a:schemeClr val="accent4">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Right Arrow 4" o:spid="_x0000_s1026" type="#_x0000_t13" style="position:absolute;margin-left:-7.35pt;margin-top:10.45pt;width:100.9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" fillcolor="#e5dfec [663]"/>
                  </w:pict>
                </mc:Fallback>
              </mc:AlternateContent>
            </w:r>
          </w:p>
        </w:tc>
        <w:tc>
          <w:tcPr>
            <w:tcW w:w="435" w:type="dxa"/>
          </w:tcPr>
          <w:p w:rsidR="002C5F1E" w:rsidRPr="00004E69" w:rsidRDefault="002C5F1E" w:rsidP="00BE120C">
            <w:pPr>
              <w:spacing w:after="0" w:line="360" w:lineRule="auto"/>
              <w:rPr>
                <w:sz w:val="16"/>
                <w:szCs w:val="16"/>
              </w:rPr>
            </w:pPr>
          </w:p>
        </w:tc>
        <w:tc>
          <w:tcPr>
            <w:tcW w:w="2340" w:type="dxa"/>
            <w:vAlign w:val="center"/>
          </w:tcPr>
          <w:p w:rsidR="002C5F1E" w:rsidRPr="002E1D1C" w:rsidRDefault="002C5F1E" w:rsidP="00BE120C">
            <w:pPr>
              <w:spacing w:after="0" w:line="360" w:lineRule="auto"/>
              <w:jc w:val="center"/>
              <w:rPr>
                <w:sz w:val="21"/>
                <w:szCs w:val="21"/>
              </w:rPr>
            </w:pPr>
          </w:p>
        </w:tc>
        <w:tc>
          <w:tcPr>
            <w:tcW w:w="351" w:type="dxa"/>
            <w:vAlign w:val="center"/>
          </w:tcPr>
          <w:p w:rsidR="002C5F1E" w:rsidRPr="002E1D1C" w:rsidRDefault="002C5F1E" w:rsidP="00BE120C">
            <w:pPr>
              <w:spacing w:after="0" w:line="360" w:lineRule="auto"/>
              <w:jc w:val="center"/>
              <w:rPr>
                <w:sz w:val="21"/>
                <w:szCs w:val="21"/>
              </w:rPr>
            </w:pPr>
          </w:p>
        </w:tc>
        <w:tc>
          <w:tcPr>
            <w:tcW w:w="2349" w:type="dxa"/>
            <w:tcBorders>
              <w:bottom w:val="single" w:sz="4" w:space="0" w:color="auto"/>
            </w:tcBorders>
            <w:vAlign w:val="center"/>
          </w:tcPr>
          <w:p w:rsidR="002C5F1E" w:rsidRPr="002E1D1C" w:rsidRDefault="002C5F1E" w:rsidP="00BE120C">
            <w:pPr>
              <w:spacing w:after="0" w:line="360" w:lineRule="auto"/>
              <w:jc w:val="center"/>
              <w:rPr>
                <w:sz w:val="21"/>
                <w:szCs w:val="21"/>
              </w:rPr>
            </w:pPr>
          </w:p>
        </w:tc>
        <w:tc>
          <w:tcPr>
            <w:tcW w:w="364" w:type="dxa"/>
            <w:tcBorders>
              <w:left w:val="nil"/>
            </w:tcBorders>
            <w:vAlign w:val="center"/>
          </w:tcPr>
          <w:p w:rsidR="002C5F1E" w:rsidRPr="002E1D1C" w:rsidRDefault="002C5F1E" w:rsidP="00BE120C">
            <w:pPr>
              <w:spacing w:after="0" w:line="360" w:lineRule="auto"/>
              <w:jc w:val="center"/>
              <w:rPr>
                <w:sz w:val="21"/>
                <w:szCs w:val="21"/>
              </w:rPr>
            </w:pPr>
          </w:p>
        </w:tc>
        <w:tc>
          <w:tcPr>
            <w:tcW w:w="2336" w:type="dxa"/>
            <w:vAlign w:val="center"/>
          </w:tcPr>
          <w:p w:rsidR="002C5F1E" w:rsidRPr="002E1D1C" w:rsidRDefault="002C5F1E" w:rsidP="00BE120C">
            <w:pPr>
              <w:spacing w:after="0" w:line="360" w:lineRule="auto"/>
              <w:ind w:left="-104"/>
              <w:jc w:val="center"/>
              <w:rPr>
                <w:sz w:val="21"/>
                <w:szCs w:val="21"/>
              </w:rPr>
            </w:pPr>
          </w:p>
        </w:tc>
      </w:tr>
      <w:tr w:rsidR="002C5F1E" w:rsidRPr="00004E69" w:rsidTr="00BE120C">
        <w:tc>
          <w:tcPr>
            <w:tcW w:w="1725" w:type="dxa"/>
          </w:tcPr>
          <w:p w:rsidR="002C5F1E" w:rsidRPr="00004E69" w:rsidRDefault="005939A1" w:rsidP="00BE120C">
            <w:pPr>
              <w:spacing w:after="0" w:line="360" w:lineRule="auto"/>
              <w:rPr>
                <w:noProof/>
                <w:sz w:val="16"/>
                <w:szCs w:val="16"/>
                <w:lang w:eastAsia="zh-TW"/>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-161290</wp:posOffset>
                      </wp:positionH>
                      <wp:positionV relativeFrom="paragraph">
                        <wp:posOffset>117475</wp:posOffset>
                      </wp:positionV>
                      <wp:extent cx="1348740" cy="421640"/>
                      <wp:effectExtent l="0" t="0" r="0" b="10160"/>
                      <wp:wrapNone/>
                      <wp:docPr id="3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F1E" w:rsidRDefault="002C5F1E" w:rsidP="002C5F1E">
                                  <w:pPr>
                                    <w:jc w:val="center"/>
                                  </w:pPr>
                                  <w:r>
                                    <w:t>School Incident Data Elements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8" type="#_x0000_t202" style="position:absolute;margin-left:-12.65pt;margin-top:9.25pt;width:106.2pt;height:3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ReDLcCAADC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" filled="f" stroked="f">
                      <v:textbox>
                        <w:txbxContent>
                          <w:p w:rsidR="002C5F1E" w:rsidRDefault="002C5F1E" w:rsidP="002C5F1E">
                            <w:pPr>
                              <w:jc w:val="center"/>
                            </w:pPr>
                            <w:r>
                              <w:t>School Incident Data Elements</w:t>
                            </w:r>
                          </w:p>
                        </w:txbxContent>
                      </v:textbox>
                    </v:shape>
                  </w:pict>
                </mc:Fallback>
              </mc:AlternateContent>
            </w:r>
          </w:p>
        </w:tc>
        <w:tc>
          <w:tcPr>
            <w:tcW w:w="435" w:type="dxa"/>
          </w:tcPr>
          <w:p w:rsidR="002C5F1E" w:rsidRPr="00004E69" w:rsidRDefault="002C5F1E" w:rsidP="00BE120C">
            <w:pPr>
              <w:spacing w:after="0" w:line="360" w:lineRule="auto"/>
              <w:rPr>
                <w:sz w:val="16"/>
                <w:szCs w:val="16"/>
              </w:rPr>
            </w:pPr>
          </w:p>
        </w:tc>
        <w:tc>
          <w:tcPr>
            <w:tcW w:w="2340" w:type="dxa"/>
            <w:vAlign w:val="center"/>
          </w:tcPr>
          <w:p w:rsidR="002C5F1E" w:rsidRPr="002E1D1C" w:rsidRDefault="002C5F1E" w:rsidP="00BE120C">
            <w:pPr>
              <w:spacing w:after="0" w:line="360" w:lineRule="auto"/>
              <w:jc w:val="center"/>
              <w:rPr>
                <w:sz w:val="21"/>
                <w:szCs w:val="21"/>
              </w:rPr>
            </w:pPr>
          </w:p>
        </w:tc>
        <w:tc>
          <w:tcPr>
            <w:tcW w:w="351" w:type="dxa"/>
            <w:tcBorders>
              <w:left w:val="nil"/>
              <w:right w:val="single" w:sz="4" w:space="0" w:color="auto"/>
            </w:tcBorders>
            <w:vAlign w:val="center"/>
          </w:tcPr>
          <w:p w:rsidR="002C5F1E" w:rsidRPr="002E1D1C" w:rsidRDefault="002C5F1E" w:rsidP="00BE120C">
            <w:pPr>
              <w:spacing w:after="0" w:line="360" w:lineRule="auto"/>
              <w:jc w:val="center"/>
              <w:rPr>
                <w:sz w:val="21"/>
                <w:szCs w:val="21"/>
              </w:rPr>
            </w:pPr>
          </w:p>
        </w:tc>
        <w:tc>
          <w:tcPr>
            <w:tcW w:w="234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C5F1E" w:rsidRPr="002E1D1C" w:rsidRDefault="002C5F1E" w:rsidP="00BE120C">
            <w:pPr>
              <w:spacing w:after="0" w:line="360" w:lineRule="auto"/>
              <w:jc w:val="center"/>
              <w:rPr>
                <w:sz w:val="21"/>
                <w:szCs w:val="21"/>
              </w:rPr>
            </w:pPr>
            <w:r w:rsidRPr="002E1D1C">
              <w:rPr>
                <w:sz w:val="21"/>
                <w:szCs w:val="21"/>
              </w:rPr>
              <w:t>Graduation</w:t>
            </w:r>
          </w:p>
        </w:tc>
        <w:tc>
          <w:tcPr>
            <w:tcW w:w="364" w:type="dxa"/>
            <w:tcBorders>
              <w:left w:val="single" w:sz="4" w:space="0" w:color="auto"/>
            </w:tcBorders>
            <w:vAlign w:val="center"/>
          </w:tcPr>
          <w:p w:rsidR="002C5F1E" w:rsidRPr="002E1D1C" w:rsidRDefault="002C5F1E" w:rsidP="00BE120C">
            <w:pPr>
              <w:spacing w:after="0" w:line="360" w:lineRule="auto"/>
              <w:jc w:val="center"/>
              <w:rPr>
                <w:sz w:val="21"/>
                <w:szCs w:val="21"/>
              </w:rPr>
            </w:pPr>
          </w:p>
        </w:tc>
        <w:tc>
          <w:tcPr>
            <w:tcW w:w="2336" w:type="dxa"/>
            <w:vAlign w:val="center"/>
          </w:tcPr>
          <w:p w:rsidR="002C5F1E" w:rsidRPr="002E1D1C" w:rsidRDefault="002C5F1E" w:rsidP="00BE120C">
            <w:pPr>
              <w:spacing w:after="0" w:line="360" w:lineRule="auto"/>
              <w:ind w:left="-104"/>
              <w:jc w:val="center"/>
              <w:rPr>
                <w:sz w:val="21"/>
                <w:szCs w:val="21"/>
              </w:rPr>
            </w:pPr>
          </w:p>
        </w:tc>
      </w:tr>
      <w:tr w:rsidR="002C5F1E" w:rsidRPr="00004E69" w:rsidTr="00BE120C">
        <w:tc>
          <w:tcPr>
            <w:tcW w:w="1725" w:type="dxa"/>
          </w:tcPr>
          <w:p w:rsidR="002C5F1E" w:rsidRPr="00004E69" w:rsidRDefault="002C5F1E" w:rsidP="00BE120C">
            <w:pPr>
              <w:spacing w:after="0" w:line="360" w:lineRule="auto"/>
              <w:rPr>
                <w:noProof/>
                <w:sz w:val="16"/>
                <w:szCs w:val="16"/>
                <w:lang w:eastAsia="zh-TW"/>
              </w:rPr>
            </w:pPr>
          </w:p>
        </w:tc>
        <w:tc>
          <w:tcPr>
            <w:tcW w:w="435" w:type="dxa"/>
          </w:tcPr>
          <w:p w:rsidR="002C5F1E" w:rsidRPr="00004E69" w:rsidRDefault="002C5F1E" w:rsidP="00BE120C">
            <w:pPr>
              <w:spacing w:after="0" w:line="360" w:lineRule="auto"/>
              <w:rPr>
                <w:sz w:val="16"/>
                <w:szCs w:val="16"/>
              </w:rPr>
            </w:pPr>
          </w:p>
        </w:tc>
        <w:tc>
          <w:tcPr>
            <w:tcW w:w="2340" w:type="dxa"/>
            <w:tcBorders>
              <w:bottom w:val="single" w:sz="4" w:space="0" w:color="auto"/>
            </w:tcBorders>
            <w:vAlign w:val="center"/>
          </w:tcPr>
          <w:p w:rsidR="002C5F1E" w:rsidRPr="002E1D1C" w:rsidRDefault="002C5F1E" w:rsidP="00BE120C">
            <w:pPr>
              <w:spacing w:after="0" w:line="360" w:lineRule="auto"/>
              <w:jc w:val="center"/>
              <w:rPr>
                <w:sz w:val="21"/>
                <w:szCs w:val="21"/>
              </w:rPr>
            </w:pPr>
          </w:p>
        </w:tc>
        <w:tc>
          <w:tcPr>
            <w:tcW w:w="351" w:type="dxa"/>
            <w:vAlign w:val="center"/>
          </w:tcPr>
          <w:p w:rsidR="002C5F1E" w:rsidRPr="002E1D1C" w:rsidRDefault="002C5F1E" w:rsidP="00BE120C">
            <w:pPr>
              <w:spacing w:after="0" w:line="360" w:lineRule="auto"/>
              <w:jc w:val="center"/>
              <w:rPr>
                <w:sz w:val="21"/>
                <w:szCs w:val="21"/>
              </w:rPr>
            </w:pPr>
          </w:p>
        </w:tc>
        <w:tc>
          <w:tcPr>
            <w:tcW w:w="2349" w:type="dxa"/>
            <w:tcBorders>
              <w:top w:val="single" w:sz="4" w:space="0" w:color="auto"/>
              <w:bottom w:val="single" w:sz="4" w:space="0" w:color="auto"/>
            </w:tcBorders>
            <w:vAlign w:val="center"/>
          </w:tcPr>
          <w:p w:rsidR="002C5F1E" w:rsidRPr="002E1D1C" w:rsidRDefault="002C5F1E" w:rsidP="00BE120C">
            <w:pPr>
              <w:spacing w:after="0" w:line="360" w:lineRule="auto"/>
              <w:jc w:val="center"/>
              <w:rPr>
                <w:sz w:val="21"/>
                <w:szCs w:val="21"/>
              </w:rPr>
            </w:pPr>
          </w:p>
        </w:tc>
        <w:tc>
          <w:tcPr>
            <w:tcW w:w="364" w:type="dxa"/>
            <w:tcBorders>
              <w:left w:val="nil"/>
            </w:tcBorders>
            <w:vAlign w:val="center"/>
          </w:tcPr>
          <w:p w:rsidR="002C5F1E" w:rsidRPr="002E1D1C" w:rsidRDefault="002C5F1E" w:rsidP="00BE120C">
            <w:pPr>
              <w:spacing w:after="0" w:line="360" w:lineRule="auto"/>
              <w:jc w:val="center"/>
              <w:rPr>
                <w:sz w:val="21"/>
                <w:szCs w:val="21"/>
              </w:rPr>
            </w:pPr>
          </w:p>
        </w:tc>
        <w:tc>
          <w:tcPr>
            <w:tcW w:w="2336" w:type="dxa"/>
            <w:tcBorders>
              <w:bottom w:val="single" w:sz="4" w:space="0" w:color="auto"/>
            </w:tcBorders>
            <w:vAlign w:val="center"/>
          </w:tcPr>
          <w:p w:rsidR="002C5F1E" w:rsidRPr="002E1D1C" w:rsidRDefault="002C5F1E" w:rsidP="00BE120C">
            <w:pPr>
              <w:spacing w:after="0" w:line="360" w:lineRule="auto"/>
              <w:ind w:left="-104"/>
              <w:jc w:val="center"/>
              <w:rPr>
                <w:sz w:val="21"/>
                <w:szCs w:val="21"/>
              </w:rPr>
            </w:pPr>
          </w:p>
        </w:tc>
      </w:tr>
      <w:tr w:rsidR="002C5F1E" w:rsidRPr="00004E69" w:rsidTr="00BE120C">
        <w:tc>
          <w:tcPr>
            <w:tcW w:w="1725" w:type="dxa"/>
          </w:tcPr>
          <w:p w:rsidR="002C5F1E" w:rsidRPr="00004E69" w:rsidRDefault="002C5F1E" w:rsidP="00BE120C">
            <w:pPr>
              <w:spacing w:after="0" w:line="360" w:lineRule="auto"/>
              <w:rPr>
                <w:noProof/>
                <w:sz w:val="16"/>
                <w:szCs w:val="16"/>
                <w:lang w:eastAsia="zh-TW"/>
              </w:rPr>
            </w:pPr>
          </w:p>
        </w:tc>
        <w:tc>
          <w:tcPr>
            <w:tcW w:w="435" w:type="dxa"/>
            <w:tcBorders>
              <w:right w:val="single" w:sz="4" w:space="0" w:color="auto"/>
            </w:tcBorders>
          </w:tcPr>
          <w:p w:rsidR="002C5F1E" w:rsidRPr="00004E69" w:rsidRDefault="002C5F1E" w:rsidP="00BE120C">
            <w:pPr>
              <w:spacing w:after="0" w:line="360" w:lineRule="auto"/>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C5F1E" w:rsidRPr="002E1D1C" w:rsidRDefault="002C5F1E" w:rsidP="00BE120C">
            <w:pPr>
              <w:spacing w:after="0" w:line="360" w:lineRule="auto"/>
              <w:jc w:val="center"/>
              <w:rPr>
                <w:sz w:val="21"/>
                <w:szCs w:val="21"/>
              </w:rPr>
            </w:pPr>
            <w:r w:rsidRPr="002E1D1C">
              <w:rPr>
                <w:sz w:val="21"/>
                <w:szCs w:val="21"/>
              </w:rPr>
              <w:t>S/E Violen</w:t>
            </w:r>
            <w:r>
              <w:rPr>
                <w:sz w:val="21"/>
                <w:szCs w:val="21"/>
              </w:rPr>
              <w:t>ce or Fighting</w:t>
            </w:r>
          </w:p>
        </w:tc>
        <w:tc>
          <w:tcPr>
            <w:tcW w:w="351" w:type="dxa"/>
            <w:tcBorders>
              <w:left w:val="single" w:sz="4" w:space="0" w:color="auto"/>
              <w:right w:val="single" w:sz="4" w:space="0" w:color="auto"/>
            </w:tcBorders>
            <w:vAlign w:val="center"/>
          </w:tcPr>
          <w:p w:rsidR="002C5F1E" w:rsidRPr="002E1D1C" w:rsidRDefault="002C5F1E" w:rsidP="00BE120C">
            <w:pPr>
              <w:spacing w:after="0" w:line="360" w:lineRule="auto"/>
              <w:jc w:val="center"/>
              <w:rPr>
                <w:sz w:val="21"/>
                <w:szCs w:val="21"/>
              </w:rPr>
            </w:pPr>
          </w:p>
        </w:tc>
        <w:tc>
          <w:tcPr>
            <w:tcW w:w="234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C5F1E" w:rsidRPr="002E1D1C" w:rsidRDefault="002C5F1E" w:rsidP="00BE120C">
            <w:pPr>
              <w:spacing w:after="0" w:line="360" w:lineRule="auto"/>
              <w:jc w:val="center"/>
              <w:rPr>
                <w:sz w:val="21"/>
                <w:szCs w:val="21"/>
              </w:rPr>
            </w:pPr>
            <w:r w:rsidRPr="002E1D1C">
              <w:rPr>
                <w:sz w:val="21"/>
                <w:szCs w:val="21"/>
              </w:rPr>
              <w:t>Dropout</w:t>
            </w:r>
          </w:p>
        </w:tc>
        <w:tc>
          <w:tcPr>
            <w:tcW w:w="364" w:type="dxa"/>
            <w:tcBorders>
              <w:left w:val="single" w:sz="4" w:space="0" w:color="auto"/>
              <w:right w:val="single" w:sz="4" w:space="0" w:color="auto"/>
            </w:tcBorders>
            <w:vAlign w:val="center"/>
          </w:tcPr>
          <w:p w:rsidR="002C5F1E" w:rsidRPr="002E1D1C" w:rsidRDefault="002C5F1E" w:rsidP="00BE120C">
            <w:pPr>
              <w:spacing w:after="0" w:line="360" w:lineRule="auto"/>
              <w:jc w:val="center"/>
              <w:rPr>
                <w:sz w:val="21"/>
                <w:szCs w:val="21"/>
              </w:rPr>
            </w:pPr>
          </w:p>
        </w:tc>
        <w:tc>
          <w:tcPr>
            <w:tcW w:w="233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C5F1E" w:rsidRPr="002E1D1C" w:rsidRDefault="002C5F1E" w:rsidP="00BE120C">
            <w:pPr>
              <w:spacing w:after="0" w:line="360" w:lineRule="auto"/>
              <w:ind w:left="-104"/>
              <w:jc w:val="center"/>
              <w:rPr>
                <w:sz w:val="21"/>
                <w:szCs w:val="21"/>
              </w:rPr>
            </w:pPr>
            <w:r w:rsidRPr="002E1D1C">
              <w:rPr>
                <w:sz w:val="21"/>
                <w:szCs w:val="21"/>
              </w:rPr>
              <w:t>Suspension/</w:t>
            </w:r>
            <w:proofErr w:type="spellStart"/>
            <w:r w:rsidRPr="002E1D1C">
              <w:rPr>
                <w:sz w:val="21"/>
                <w:szCs w:val="21"/>
              </w:rPr>
              <w:t>Exp</w:t>
            </w:r>
            <w:proofErr w:type="spellEnd"/>
            <w:r w:rsidRPr="002E1D1C">
              <w:rPr>
                <w:sz w:val="21"/>
                <w:szCs w:val="21"/>
              </w:rPr>
              <w:t xml:space="preserve"> Total</w:t>
            </w:r>
          </w:p>
        </w:tc>
      </w:tr>
      <w:tr w:rsidR="002C5F1E" w:rsidRPr="00004E69" w:rsidTr="00BE120C">
        <w:tc>
          <w:tcPr>
            <w:tcW w:w="1725" w:type="dxa"/>
          </w:tcPr>
          <w:p w:rsidR="002C5F1E" w:rsidRPr="00004E69" w:rsidRDefault="002C5F1E" w:rsidP="00BE120C">
            <w:pPr>
              <w:spacing w:after="0" w:line="360" w:lineRule="auto"/>
              <w:rPr>
                <w:noProof/>
                <w:sz w:val="16"/>
                <w:szCs w:val="16"/>
                <w:lang w:eastAsia="zh-TW"/>
              </w:rPr>
            </w:pPr>
          </w:p>
        </w:tc>
        <w:tc>
          <w:tcPr>
            <w:tcW w:w="435" w:type="dxa"/>
          </w:tcPr>
          <w:p w:rsidR="002C5F1E" w:rsidRPr="00004E69" w:rsidRDefault="002C5F1E" w:rsidP="00BE120C">
            <w:pPr>
              <w:spacing w:after="0" w:line="360" w:lineRule="auto"/>
              <w:rPr>
                <w:sz w:val="16"/>
                <w:szCs w:val="16"/>
              </w:rPr>
            </w:pPr>
          </w:p>
        </w:tc>
        <w:tc>
          <w:tcPr>
            <w:tcW w:w="2340" w:type="dxa"/>
            <w:tcBorders>
              <w:top w:val="single" w:sz="4" w:space="0" w:color="auto"/>
            </w:tcBorders>
            <w:vAlign w:val="center"/>
          </w:tcPr>
          <w:p w:rsidR="002C5F1E" w:rsidRPr="002E1D1C" w:rsidRDefault="002C5F1E" w:rsidP="00BE120C">
            <w:pPr>
              <w:spacing w:after="0" w:line="360" w:lineRule="auto"/>
              <w:jc w:val="center"/>
              <w:rPr>
                <w:sz w:val="21"/>
                <w:szCs w:val="21"/>
              </w:rPr>
            </w:pPr>
          </w:p>
        </w:tc>
        <w:tc>
          <w:tcPr>
            <w:tcW w:w="351" w:type="dxa"/>
            <w:vAlign w:val="center"/>
          </w:tcPr>
          <w:p w:rsidR="002C5F1E" w:rsidRPr="002E1D1C" w:rsidRDefault="002C5F1E" w:rsidP="00BE120C">
            <w:pPr>
              <w:spacing w:after="0" w:line="360" w:lineRule="auto"/>
              <w:jc w:val="center"/>
              <w:rPr>
                <w:sz w:val="21"/>
                <w:szCs w:val="21"/>
              </w:rPr>
            </w:pPr>
          </w:p>
        </w:tc>
        <w:tc>
          <w:tcPr>
            <w:tcW w:w="2349" w:type="dxa"/>
            <w:tcBorders>
              <w:top w:val="single" w:sz="4" w:space="0" w:color="auto"/>
              <w:bottom w:val="single" w:sz="4" w:space="0" w:color="auto"/>
            </w:tcBorders>
            <w:vAlign w:val="center"/>
          </w:tcPr>
          <w:p w:rsidR="002C5F1E" w:rsidRPr="002E1D1C" w:rsidRDefault="002C5F1E" w:rsidP="00BE120C">
            <w:pPr>
              <w:spacing w:after="0" w:line="360" w:lineRule="auto"/>
              <w:jc w:val="center"/>
              <w:rPr>
                <w:sz w:val="21"/>
                <w:szCs w:val="21"/>
              </w:rPr>
            </w:pPr>
          </w:p>
        </w:tc>
        <w:tc>
          <w:tcPr>
            <w:tcW w:w="364" w:type="dxa"/>
            <w:tcBorders>
              <w:left w:val="nil"/>
            </w:tcBorders>
            <w:vAlign w:val="center"/>
          </w:tcPr>
          <w:p w:rsidR="002C5F1E" w:rsidRPr="002E1D1C" w:rsidRDefault="002C5F1E" w:rsidP="00BE120C">
            <w:pPr>
              <w:spacing w:after="0" w:line="360" w:lineRule="auto"/>
              <w:jc w:val="center"/>
              <w:rPr>
                <w:sz w:val="21"/>
                <w:szCs w:val="21"/>
              </w:rPr>
            </w:pPr>
          </w:p>
        </w:tc>
        <w:tc>
          <w:tcPr>
            <w:tcW w:w="2336" w:type="dxa"/>
            <w:tcBorders>
              <w:top w:val="single" w:sz="4" w:space="0" w:color="auto"/>
            </w:tcBorders>
            <w:vAlign w:val="center"/>
          </w:tcPr>
          <w:p w:rsidR="002C5F1E" w:rsidRPr="002E1D1C" w:rsidRDefault="002C5F1E" w:rsidP="00BE120C">
            <w:pPr>
              <w:spacing w:after="0" w:line="360" w:lineRule="auto"/>
              <w:ind w:left="-104"/>
              <w:jc w:val="center"/>
              <w:rPr>
                <w:sz w:val="21"/>
                <w:szCs w:val="21"/>
              </w:rPr>
            </w:pPr>
          </w:p>
        </w:tc>
      </w:tr>
      <w:tr w:rsidR="002C5F1E" w:rsidRPr="00004E69" w:rsidTr="00BE120C">
        <w:tc>
          <w:tcPr>
            <w:tcW w:w="1725" w:type="dxa"/>
          </w:tcPr>
          <w:p w:rsidR="002C5F1E" w:rsidRPr="00004E69" w:rsidRDefault="002C5F1E" w:rsidP="00BE120C">
            <w:pPr>
              <w:spacing w:after="0" w:line="360" w:lineRule="auto"/>
              <w:rPr>
                <w:noProof/>
                <w:sz w:val="16"/>
                <w:szCs w:val="16"/>
                <w:lang w:eastAsia="zh-TW"/>
              </w:rPr>
            </w:pPr>
          </w:p>
        </w:tc>
        <w:tc>
          <w:tcPr>
            <w:tcW w:w="435" w:type="dxa"/>
          </w:tcPr>
          <w:p w:rsidR="002C5F1E" w:rsidRPr="00004E69" w:rsidRDefault="002C5F1E" w:rsidP="00BE120C">
            <w:pPr>
              <w:spacing w:after="0" w:line="360" w:lineRule="auto"/>
              <w:rPr>
                <w:sz w:val="16"/>
                <w:szCs w:val="16"/>
              </w:rPr>
            </w:pPr>
          </w:p>
        </w:tc>
        <w:tc>
          <w:tcPr>
            <w:tcW w:w="2340" w:type="dxa"/>
            <w:vAlign w:val="center"/>
          </w:tcPr>
          <w:p w:rsidR="002C5F1E" w:rsidRPr="002E1D1C" w:rsidRDefault="002C5F1E" w:rsidP="00BE120C">
            <w:pPr>
              <w:spacing w:after="0" w:line="360" w:lineRule="auto"/>
              <w:jc w:val="center"/>
              <w:rPr>
                <w:sz w:val="21"/>
                <w:szCs w:val="21"/>
              </w:rPr>
            </w:pPr>
          </w:p>
        </w:tc>
        <w:tc>
          <w:tcPr>
            <w:tcW w:w="351" w:type="dxa"/>
            <w:tcBorders>
              <w:right w:val="single" w:sz="4" w:space="0" w:color="auto"/>
            </w:tcBorders>
            <w:vAlign w:val="center"/>
          </w:tcPr>
          <w:p w:rsidR="002C5F1E" w:rsidRPr="002E1D1C" w:rsidRDefault="002C5F1E" w:rsidP="00BE120C">
            <w:pPr>
              <w:spacing w:after="0" w:line="360" w:lineRule="auto"/>
              <w:jc w:val="center"/>
              <w:rPr>
                <w:sz w:val="21"/>
                <w:szCs w:val="21"/>
              </w:rPr>
            </w:pPr>
          </w:p>
        </w:tc>
        <w:tc>
          <w:tcPr>
            <w:tcW w:w="234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C5F1E" w:rsidRPr="002E1D1C" w:rsidRDefault="002C5F1E" w:rsidP="00BE120C">
            <w:pPr>
              <w:spacing w:after="0" w:line="360" w:lineRule="auto"/>
              <w:jc w:val="center"/>
              <w:rPr>
                <w:sz w:val="21"/>
                <w:szCs w:val="21"/>
              </w:rPr>
            </w:pPr>
            <w:r w:rsidRPr="002E1D1C">
              <w:rPr>
                <w:sz w:val="21"/>
                <w:szCs w:val="21"/>
              </w:rPr>
              <w:t>Attendance</w:t>
            </w:r>
          </w:p>
        </w:tc>
        <w:tc>
          <w:tcPr>
            <w:tcW w:w="364" w:type="dxa"/>
            <w:tcBorders>
              <w:left w:val="single" w:sz="4" w:space="0" w:color="auto"/>
            </w:tcBorders>
            <w:vAlign w:val="center"/>
          </w:tcPr>
          <w:p w:rsidR="002C5F1E" w:rsidRPr="002E1D1C" w:rsidRDefault="002C5F1E" w:rsidP="00BE120C">
            <w:pPr>
              <w:spacing w:after="0" w:line="360" w:lineRule="auto"/>
              <w:jc w:val="center"/>
              <w:rPr>
                <w:sz w:val="21"/>
                <w:szCs w:val="21"/>
              </w:rPr>
            </w:pPr>
          </w:p>
        </w:tc>
        <w:tc>
          <w:tcPr>
            <w:tcW w:w="2336" w:type="dxa"/>
            <w:vAlign w:val="center"/>
          </w:tcPr>
          <w:p w:rsidR="002C5F1E" w:rsidRPr="002E1D1C" w:rsidRDefault="002C5F1E" w:rsidP="00BE120C">
            <w:pPr>
              <w:spacing w:after="0" w:line="360" w:lineRule="auto"/>
              <w:ind w:left="-104"/>
              <w:jc w:val="center"/>
              <w:rPr>
                <w:sz w:val="21"/>
                <w:szCs w:val="21"/>
              </w:rPr>
            </w:pPr>
          </w:p>
        </w:tc>
      </w:tr>
    </w:tbl>
    <w:p w:rsidR="002C5F1E" w:rsidRPr="00E32614" w:rsidRDefault="002C5F1E" w:rsidP="002C5F1E">
      <w:pPr>
        <w:pStyle w:val="Heading3"/>
        <w:rPr>
          <w:noProof/>
          <w:color w:val="365F91" w:themeColor="accent1" w:themeShade="BF"/>
        </w:rPr>
      </w:pPr>
      <w:bookmarkStart w:id="4" w:name="_Toc321521575"/>
      <w:bookmarkStart w:id="5" w:name="_Toc326224158"/>
      <w:r w:rsidRPr="00E32614">
        <w:rPr>
          <w:i/>
          <w:noProof/>
          <w:color w:val="365F91" w:themeColor="accent1" w:themeShade="BF"/>
        </w:rPr>
        <w:t xml:space="preserve">Figure </w:t>
      </w:r>
      <w:r>
        <w:rPr>
          <w:i/>
          <w:noProof/>
          <w:color w:val="365F91" w:themeColor="accent1" w:themeShade="BF"/>
        </w:rPr>
        <w:t>1</w:t>
      </w:r>
      <w:r w:rsidRPr="00E32614">
        <w:rPr>
          <w:i/>
          <w:noProof/>
          <w:color w:val="365F91" w:themeColor="accent1" w:themeShade="BF"/>
        </w:rPr>
        <w:t>.</w:t>
      </w:r>
      <w:r w:rsidRPr="00E32614">
        <w:rPr>
          <w:noProof/>
          <w:color w:val="365F91" w:themeColor="accent1" w:themeShade="BF"/>
        </w:rPr>
        <w:t xml:space="preserve"> IS</w:t>
      </w:r>
      <w:r w:rsidRPr="00E32614">
        <w:rPr>
          <w:noProof/>
          <w:color w:val="365F91" w:themeColor="accent1" w:themeShade="BF"/>
          <w:vertAlign w:val="superscript"/>
        </w:rPr>
        <w:t>3</w:t>
      </w:r>
      <w:r w:rsidRPr="00E32614">
        <w:rPr>
          <w:noProof/>
          <w:color w:val="365F91" w:themeColor="accent1" w:themeShade="BF"/>
        </w:rPr>
        <w:t xml:space="preserve"> Index, Domains and Constructs.</w:t>
      </w:r>
      <w:bookmarkEnd w:id="4"/>
      <w:bookmarkEnd w:id="5"/>
    </w:p>
    <w:p w:rsidR="000B65E8" w:rsidRDefault="000B65E8" w:rsidP="000B65E8">
      <w:pPr>
        <w:spacing w:after="0" w:line="300" w:lineRule="auto"/>
        <w:rPr>
          <w:b/>
          <w:noProof/>
        </w:rPr>
      </w:pPr>
    </w:p>
    <w:p w:rsidR="000B65E8" w:rsidRDefault="000B65E8" w:rsidP="000B65E8">
      <w:pPr>
        <w:spacing w:after="0" w:line="240" w:lineRule="auto"/>
        <w:ind w:firstLine="360"/>
        <w:rPr>
          <w:sz w:val="24"/>
          <w:szCs w:val="24"/>
        </w:rPr>
      </w:pPr>
    </w:p>
    <w:p w:rsidR="002C5F1E" w:rsidRPr="0052713E" w:rsidRDefault="002C5F1E" w:rsidP="002C5F1E">
      <w:pPr>
        <w:spacing w:after="0" w:line="300" w:lineRule="auto"/>
        <w:rPr>
          <w:rFonts w:asciiTheme="majorHAnsi" w:hAnsiTheme="majorHAnsi"/>
          <w:b/>
          <w:noProof/>
          <w:color w:val="365F91" w:themeColor="accent1" w:themeShade="BF"/>
          <w:sz w:val="28"/>
          <w:szCs w:val="28"/>
        </w:rPr>
      </w:pPr>
      <w:r>
        <w:rPr>
          <w:rFonts w:asciiTheme="majorHAnsi" w:hAnsiTheme="majorHAnsi"/>
          <w:b/>
          <w:noProof/>
          <w:color w:val="365F91" w:themeColor="accent1" w:themeShade="BF"/>
          <w:sz w:val="28"/>
          <w:szCs w:val="28"/>
        </w:rPr>
        <w:t>How are IS</w:t>
      </w:r>
      <w:r>
        <w:rPr>
          <w:rFonts w:asciiTheme="majorHAnsi" w:hAnsiTheme="majorHAnsi"/>
          <w:b/>
          <w:noProof/>
          <w:color w:val="365F91" w:themeColor="accent1" w:themeShade="BF"/>
          <w:sz w:val="28"/>
          <w:szCs w:val="28"/>
          <w:vertAlign w:val="superscript"/>
        </w:rPr>
        <w:t>3</w:t>
      </w:r>
      <w:r>
        <w:rPr>
          <w:rFonts w:asciiTheme="majorHAnsi" w:hAnsiTheme="majorHAnsi"/>
          <w:b/>
          <w:noProof/>
          <w:color w:val="365F91" w:themeColor="accent1" w:themeShade="BF"/>
          <w:sz w:val="28"/>
          <w:szCs w:val="28"/>
        </w:rPr>
        <w:t xml:space="preserve"> Index </w:t>
      </w:r>
      <w:r w:rsidRPr="0052713E">
        <w:rPr>
          <w:rFonts w:asciiTheme="majorHAnsi" w:hAnsiTheme="majorHAnsi"/>
          <w:b/>
          <w:noProof/>
          <w:color w:val="365F91" w:themeColor="accent1" w:themeShade="BF"/>
          <w:sz w:val="28"/>
          <w:szCs w:val="28"/>
        </w:rPr>
        <w:t>points allocated?</w:t>
      </w:r>
    </w:p>
    <w:p w:rsidR="002C5F1E" w:rsidRDefault="002C5F1E" w:rsidP="002C5F1E">
      <w:pPr>
        <w:spacing w:after="0" w:line="240" w:lineRule="auto"/>
        <w:rPr>
          <w:noProof/>
          <w:sz w:val="24"/>
          <w:szCs w:val="24"/>
        </w:rPr>
      </w:pPr>
    </w:p>
    <w:p w:rsidR="002C5F1E" w:rsidRDefault="002C5F1E" w:rsidP="002C5F1E">
      <w:pPr>
        <w:spacing w:after="0" w:line="240" w:lineRule="auto"/>
        <w:rPr>
          <w:noProof/>
          <w:sz w:val="24"/>
          <w:szCs w:val="24"/>
        </w:rPr>
      </w:pPr>
      <w:r w:rsidRPr="008B2D3B">
        <w:rPr>
          <w:noProof/>
        </w:rPr>
        <w:t xml:space="preserve">Point allocations per data element are awarded to schools based on set thresholds, which are outlined in the Learning Supports Framework (Appendix E).  The Learning Supports Framework is a research based framework that delineates the necessary supports required for all children to be successful.  Below is a graphic and summary of the various levels of supports needed in order for all children to be successful.  You will see these levels (and percentages) reflected in the established Index thresholds in Table </w:t>
      </w:r>
      <w:r>
        <w:rPr>
          <w:noProof/>
        </w:rPr>
        <w:t>4</w:t>
      </w:r>
      <w:r w:rsidRPr="008B2D3B">
        <w:rPr>
          <w:noProof/>
        </w:rPr>
        <w:t>.</w:t>
      </w:r>
    </w:p>
    <w:p w:rsidR="002C5F1E" w:rsidRDefault="002C5F1E" w:rsidP="002C5F1E">
      <w:pPr>
        <w:tabs>
          <w:tab w:val="left" w:pos="9540"/>
        </w:tabs>
        <w:spacing w:after="0" w:line="240" w:lineRule="auto"/>
        <w:rPr>
          <w:noProof/>
          <w:sz w:val="24"/>
          <w:szCs w:val="24"/>
        </w:rPr>
      </w:pPr>
    </w:p>
    <w:p w:rsidR="002C5F1E" w:rsidRPr="008B2D3B" w:rsidRDefault="002C5F1E" w:rsidP="002C5F1E">
      <w:pPr>
        <w:spacing w:after="0" w:line="240" w:lineRule="auto"/>
      </w:pPr>
      <w:r w:rsidRPr="008B2D3B">
        <w:t xml:space="preserve">Using this Learning Supports Framework, Index points for each data element are awarded as </w:t>
      </w:r>
      <w:r>
        <w:t>follows:</w:t>
      </w:r>
    </w:p>
    <w:p w:rsidR="002C5F1E" w:rsidRPr="008B2D3B" w:rsidRDefault="002C5F1E" w:rsidP="002C5F1E">
      <w:pPr>
        <w:pStyle w:val="ListParagraph"/>
        <w:numPr>
          <w:ilvl w:val="0"/>
          <w:numId w:val="1"/>
        </w:numPr>
        <w:spacing w:line="276" w:lineRule="auto"/>
        <w:ind w:left="1800"/>
        <w:contextualSpacing/>
        <w:rPr>
          <w:rFonts w:asciiTheme="minorHAnsi" w:hAnsiTheme="minorHAnsi"/>
          <w:noProof/>
          <w:sz w:val="22"/>
          <w:szCs w:val="22"/>
        </w:rPr>
      </w:pPr>
      <w:r w:rsidRPr="008B2D3B">
        <w:rPr>
          <w:rFonts w:asciiTheme="minorHAnsi" w:hAnsiTheme="minorHAnsi"/>
          <w:noProof/>
          <w:sz w:val="22"/>
          <w:szCs w:val="22"/>
        </w:rPr>
        <w:t>3 = data indicates a healthy school</w:t>
      </w:r>
    </w:p>
    <w:p w:rsidR="002C5F1E" w:rsidRPr="008B2D3B" w:rsidRDefault="002C5F1E" w:rsidP="002C5F1E">
      <w:pPr>
        <w:pStyle w:val="ListParagraph"/>
        <w:numPr>
          <w:ilvl w:val="0"/>
          <w:numId w:val="1"/>
        </w:numPr>
        <w:spacing w:line="276" w:lineRule="auto"/>
        <w:ind w:left="1800"/>
        <w:contextualSpacing/>
        <w:rPr>
          <w:rFonts w:asciiTheme="minorHAnsi" w:hAnsiTheme="minorHAnsi"/>
          <w:noProof/>
          <w:sz w:val="22"/>
          <w:szCs w:val="22"/>
        </w:rPr>
      </w:pPr>
      <w:r w:rsidRPr="008B2D3B">
        <w:rPr>
          <w:rFonts w:asciiTheme="minorHAnsi" w:hAnsiTheme="minorHAnsi"/>
          <w:noProof/>
          <w:sz w:val="22"/>
          <w:szCs w:val="22"/>
        </w:rPr>
        <w:t>2 = data indicates some targeted support needed</w:t>
      </w:r>
    </w:p>
    <w:p w:rsidR="002C5F1E" w:rsidRPr="008B2D3B" w:rsidRDefault="002C5F1E" w:rsidP="002C5F1E">
      <w:pPr>
        <w:pStyle w:val="ListParagraph"/>
        <w:numPr>
          <w:ilvl w:val="0"/>
          <w:numId w:val="1"/>
        </w:numPr>
        <w:spacing w:line="276" w:lineRule="auto"/>
        <w:ind w:left="1800"/>
        <w:contextualSpacing/>
        <w:rPr>
          <w:rFonts w:asciiTheme="minorHAnsi" w:hAnsiTheme="minorHAnsi"/>
          <w:noProof/>
          <w:sz w:val="22"/>
          <w:szCs w:val="22"/>
        </w:rPr>
      </w:pPr>
      <w:r w:rsidRPr="008B2D3B">
        <w:rPr>
          <w:rFonts w:asciiTheme="minorHAnsi" w:hAnsiTheme="minorHAnsi"/>
          <w:noProof/>
          <w:sz w:val="22"/>
          <w:szCs w:val="22"/>
        </w:rPr>
        <w:t>1 = data indicates intensive to targeted support</w:t>
      </w:r>
      <w:r w:rsidRPr="008B2D3B">
        <w:rPr>
          <w:rFonts w:asciiTheme="minorHAnsi" w:hAnsiTheme="minorHAnsi"/>
          <w:noProof/>
          <w:color w:val="FF0000"/>
          <w:sz w:val="22"/>
          <w:szCs w:val="22"/>
        </w:rPr>
        <w:t xml:space="preserve"> </w:t>
      </w:r>
      <w:r w:rsidRPr="008B2D3B">
        <w:rPr>
          <w:rFonts w:asciiTheme="minorHAnsi" w:hAnsiTheme="minorHAnsi"/>
          <w:noProof/>
          <w:sz w:val="22"/>
          <w:szCs w:val="22"/>
        </w:rPr>
        <w:t>needed</w:t>
      </w:r>
    </w:p>
    <w:p w:rsidR="002C5F1E" w:rsidRPr="008B2D3B" w:rsidRDefault="002C5F1E" w:rsidP="002C5F1E">
      <w:pPr>
        <w:pStyle w:val="ListParagraph"/>
        <w:numPr>
          <w:ilvl w:val="0"/>
          <w:numId w:val="1"/>
        </w:numPr>
        <w:spacing w:line="276" w:lineRule="auto"/>
        <w:ind w:left="1800"/>
        <w:contextualSpacing/>
        <w:rPr>
          <w:noProof/>
          <w:sz w:val="22"/>
          <w:szCs w:val="22"/>
        </w:rPr>
      </w:pPr>
      <w:r w:rsidRPr="008B2D3B">
        <w:rPr>
          <w:rFonts w:asciiTheme="minorHAnsi" w:hAnsiTheme="minorHAnsi"/>
          <w:noProof/>
          <w:sz w:val="22"/>
          <w:szCs w:val="22"/>
        </w:rPr>
        <w:t>0 = data indicates intensive support is needed</w:t>
      </w:r>
    </w:p>
    <w:p w:rsidR="002C5F1E" w:rsidRPr="008B2D3B" w:rsidRDefault="002C5F1E" w:rsidP="002C5F1E">
      <w:pPr>
        <w:spacing w:after="0" w:line="300" w:lineRule="auto"/>
        <w:contextualSpacing/>
        <w:rPr>
          <w:noProof/>
        </w:rPr>
      </w:pPr>
    </w:p>
    <w:p w:rsidR="002C5F1E" w:rsidRPr="008B2D3B" w:rsidRDefault="002C5F1E" w:rsidP="002C5F1E">
      <w:pPr>
        <w:spacing w:after="120" w:line="240" w:lineRule="auto"/>
        <w:ind w:right="720"/>
        <w:rPr>
          <w:noProof/>
        </w:rPr>
      </w:pPr>
      <w:r w:rsidRPr="008B2D3B">
        <w:rPr>
          <w:b/>
          <w:noProof/>
        </w:rPr>
        <w:t>EXAMPLE.</w:t>
      </w:r>
      <w:r w:rsidRPr="008B2D3B">
        <w:rPr>
          <w:noProof/>
        </w:rPr>
        <w:t xml:space="preserve">  In the construct </w:t>
      </w:r>
      <w:r w:rsidRPr="008B2D3B">
        <w:rPr>
          <w:i/>
          <w:noProof/>
        </w:rPr>
        <w:t>suspensions/expulsions</w:t>
      </w:r>
      <w:r w:rsidRPr="008B2D3B">
        <w:rPr>
          <w:noProof/>
        </w:rPr>
        <w:t xml:space="preserve">, no more than 5% of a school population should be suspended or expelled throughout the year (see Appendix D: </w:t>
      </w:r>
      <w:r w:rsidRPr="008B2D3B">
        <w:rPr>
          <w:i/>
          <w:noProof/>
        </w:rPr>
        <w:t>Definition List</w:t>
      </w:r>
      <w:r w:rsidRPr="008B2D3B">
        <w:rPr>
          <w:noProof/>
        </w:rPr>
        <w:t xml:space="preserve"> for calculation of suspension/expulsion).  If a school is suspending and/or expelling 20% or more of the school population, the primary behavior management plan for that school is to suspend and/or expel students rather than to provide targeted supports for students.  Therefore thresholds were set at:</w:t>
      </w:r>
    </w:p>
    <w:p w:rsidR="002C5F1E" w:rsidRPr="008B2D3B" w:rsidRDefault="002C5F1E" w:rsidP="002C5F1E">
      <w:pPr>
        <w:pStyle w:val="ListParagraph"/>
        <w:numPr>
          <w:ilvl w:val="0"/>
          <w:numId w:val="2"/>
        </w:numPr>
        <w:spacing w:line="276" w:lineRule="auto"/>
        <w:ind w:left="1800"/>
        <w:contextualSpacing/>
        <w:rPr>
          <w:rFonts w:asciiTheme="minorHAnsi" w:hAnsiTheme="minorHAnsi"/>
          <w:noProof/>
          <w:sz w:val="22"/>
          <w:szCs w:val="22"/>
        </w:rPr>
      </w:pPr>
      <w:r w:rsidRPr="008B2D3B">
        <w:rPr>
          <w:rFonts w:asciiTheme="minorHAnsi" w:hAnsiTheme="minorHAnsi"/>
          <w:noProof/>
          <w:sz w:val="22"/>
          <w:szCs w:val="22"/>
        </w:rPr>
        <w:t>Percent suspension/expulsion of less than 5% = 3</w:t>
      </w:r>
    </w:p>
    <w:p w:rsidR="002C5F1E" w:rsidRPr="008B2D3B" w:rsidRDefault="002C5F1E" w:rsidP="002C5F1E">
      <w:pPr>
        <w:pStyle w:val="ListParagraph"/>
        <w:numPr>
          <w:ilvl w:val="0"/>
          <w:numId w:val="2"/>
        </w:numPr>
        <w:spacing w:line="276" w:lineRule="auto"/>
        <w:ind w:left="1800"/>
        <w:contextualSpacing/>
        <w:rPr>
          <w:rFonts w:asciiTheme="minorHAnsi" w:hAnsiTheme="minorHAnsi"/>
          <w:noProof/>
          <w:sz w:val="22"/>
          <w:szCs w:val="22"/>
        </w:rPr>
      </w:pPr>
      <w:r w:rsidRPr="008B2D3B">
        <w:rPr>
          <w:rFonts w:asciiTheme="minorHAnsi" w:hAnsiTheme="minorHAnsi"/>
          <w:noProof/>
          <w:sz w:val="22"/>
          <w:szCs w:val="22"/>
        </w:rPr>
        <w:t>Percent suspension/expulsion of 5%-12.49% = 2</w:t>
      </w:r>
    </w:p>
    <w:p w:rsidR="002C5F1E" w:rsidRPr="008B2D3B" w:rsidRDefault="002C5F1E" w:rsidP="002C5F1E">
      <w:pPr>
        <w:pStyle w:val="ListParagraph"/>
        <w:numPr>
          <w:ilvl w:val="0"/>
          <w:numId w:val="2"/>
        </w:numPr>
        <w:spacing w:line="276" w:lineRule="auto"/>
        <w:ind w:left="1800"/>
        <w:contextualSpacing/>
        <w:rPr>
          <w:rFonts w:asciiTheme="minorHAnsi" w:hAnsiTheme="minorHAnsi"/>
          <w:noProof/>
          <w:sz w:val="22"/>
          <w:szCs w:val="22"/>
        </w:rPr>
      </w:pPr>
      <w:r w:rsidRPr="008B2D3B">
        <w:rPr>
          <w:rFonts w:asciiTheme="minorHAnsi" w:hAnsiTheme="minorHAnsi"/>
          <w:noProof/>
          <w:sz w:val="22"/>
          <w:szCs w:val="22"/>
        </w:rPr>
        <w:t>Percent suspension/expulsion of 12.5%-19.99% = 1</w:t>
      </w:r>
    </w:p>
    <w:p w:rsidR="002C5F1E" w:rsidRPr="008B2D3B" w:rsidRDefault="002C5F1E" w:rsidP="002C5F1E">
      <w:pPr>
        <w:pStyle w:val="ListParagraph"/>
        <w:numPr>
          <w:ilvl w:val="0"/>
          <w:numId w:val="2"/>
        </w:numPr>
        <w:spacing w:after="240" w:line="276" w:lineRule="auto"/>
        <w:ind w:left="1800"/>
        <w:contextualSpacing/>
        <w:rPr>
          <w:rFonts w:asciiTheme="minorHAnsi" w:hAnsiTheme="minorHAnsi"/>
          <w:noProof/>
          <w:sz w:val="22"/>
          <w:szCs w:val="22"/>
        </w:rPr>
      </w:pPr>
      <w:r w:rsidRPr="008B2D3B">
        <w:rPr>
          <w:rFonts w:asciiTheme="minorHAnsi" w:hAnsiTheme="minorHAnsi"/>
          <w:noProof/>
          <w:sz w:val="22"/>
          <w:szCs w:val="22"/>
        </w:rPr>
        <w:t>Percent suspension/expulsion at 20% or more = 0</w:t>
      </w:r>
    </w:p>
    <w:p w:rsidR="002C5F1E" w:rsidRDefault="002C5F1E" w:rsidP="002C5F1E">
      <w:pPr>
        <w:spacing w:line="300" w:lineRule="auto"/>
      </w:pPr>
      <w:r w:rsidRPr="008B2D3B">
        <w:t xml:space="preserve">Each construct and threshold criteria included in the index is provided in Table </w:t>
      </w:r>
      <w:r>
        <w:t>2</w:t>
      </w:r>
      <w:r w:rsidRPr="008B2D3B">
        <w:t xml:space="preserve">. </w:t>
      </w:r>
      <w:proofErr w:type="gramStart"/>
      <w:r w:rsidRPr="008B2D3B">
        <w:t>IS</w:t>
      </w:r>
      <w:r w:rsidRPr="008B2D3B">
        <w:rPr>
          <w:vertAlign w:val="superscript"/>
        </w:rPr>
        <w:t>3</w:t>
      </w:r>
      <w:r w:rsidRPr="008B2D3B">
        <w:t xml:space="preserve"> </w:t>
      </w:r>
      <w:r>
        <w:t>Data Element</w:t>
      </w:r>
      <w:r w:rsidRPr="008B2D3B">
        <w:t xml:space="preserve"> Thresholds.</w:t>
      </w:r>
      <w:proofErr w:type="gramEnd"/>
    </w:p>
    <w:p w:rsidR="002C5F1E" w:rsidRPr="00E42EFE" w:rsidRDefault="002C5F1E" w:rsidP="002C5F1E">
      <w:pPr>
        <w:spacing w:after="0" w:line="240" w:lineRule="auto"/>
      </w:pPr>
    </w:p>
    <w:p w:rsidR="002C5F1E" w:rsidRPr="009F2B19" w:rsidRDefault="002C5F1E" w:rsidP="002C5F1E">
      <w:pPr>
        <w:pStyle w:val="Heading3"/>
        <w:spacing w:before="0"/>
        <w:rPr>
          <w:color w:val="365F91" w:themeColor="accent1" w:themeShade="BF"/>
        </w:rPr>
      </w:pPr>
      <w:bookmarkStart w:id="6" w:name="_Toc318891303"/>
      <w:bookmarkStart w:id="7" w:name="_Toc320000020"/>
      <w:bookmarkStart w:id="8" w:name="_Toc320097255"/>
      <w:bookmarkStart w:id="9" w:name="_Toc321521577"/>
      <w:bookmarkStart w:id="10" w:name="_Toc326224160"/>
      <w:proofErr w:type="gramStart"/>
      <w:r w:rsidRPr="009F2B19">
        <w:rPr>
          <w:i/>
          <w:color w:val="365F91" w:themeColor="accent1" w:themeShade="BF"/>
        </w:rPr>
        <w:t xml:space="preserve">Table </w:t>
      </w:r>
      <w:r>
        <w:rPr>
          <w:i/>
          <w:color w:val="365F91" w:themeColor="accent1" w:themeShade="BF"/>
        </w:rPr>
        <w:t>2.</w:t>
      </w:r>
      <w:proofErr w:type="gramEnd"/>
      <w:r w:rsidRPr="009F2B19">
        <w:rPr>
          <w:color w:val="365F91" w:themeColor="accent1" w:themeShade="BF"/>
        </w:rPr>
        <w:t xml:space="preserve"> IS</w:t>
      </w:r>
      <w:r w:rsidRPr="009F2B19">
        <w:rPr>
          <w:color w:val="365F91" w:themeColor="accent1" w:themeShade="BF"/>
          <w:vertAlign w:val="superscript"/>
        </w:rPr>
        <w:t>3</w:t>
      </w:r>
      <w:r w:rsidRPr="009F2B19">
        <w:rPr>
          <w:color w:val="365F91" w:themeColor="accent1" w:themeShade="BF"/>
        </w:rPr>
        <w:t xml:space="preserve"> </w:t>
      </w:r>
      <w:bookmarkEnd w:id="6"/>
      <w:bookmarkEnd w:id="7"/>
      <w:bookmarkEnd w:id="8"/>
      <w:bookmarkEnd w:id="9"/>
      <w:bookmarkEnd w:id="10"/>
      <w:r>
        <w:rPr>
          <w:color w:val="365F91" w:themeColor="accent1" w:themeShade="BF"/>
        </w:rPr>
        <w:t>Data Element Thresholds</w:t>
      </w:r>
    </w:p>
    <w:tbl>
      <w:tblPr>
        <w:tblStyle w:val="TableGrid"/>
        <w:tblW w:w="9720" w:type="dxa"/>
        <w:tblLayout w:type="fixed"/>
        <w:tblLook w:val="04A0" w:firstRow="1" w:lastRow="0" w:firstColumn="1" w:lastColumn="0" w:noHBand="0" w:noVBand="1"/>
      </w:tblPr>
      <w:tblGrid>
        <w:gridCol w:w="810"/>
        <w:gridCol w:w="2227"/>
        <w:gridCol w:w="2228"/>
        <w:gridCol w:w="2227"/>
        <w:gridCol w:w="2228"/>
      </w:tblGrid>
      <w:tr w:rsidR="002C5F1E" w:rsidRPr="00D51622" w:rsidTr="00BE120C">
        <w:tc>
          <w:tcPr>
            <w:tcW w:w="810" w:type="dxa"/>
            <w:tcBorders>
              <w:bottom w:val="single" w:sz="18" w:space="0" w:color="auto"/>
            </w:tcBorders>
            <w:shd w:val="clear" w:color="auto" w:fill="95B3D7" w:themeFill="accent1" w:themeFillTint="99"/>
          </w:tcPr>
          <w:p w:rsidR="002C5F1E" w:rsidRDefault="002C5F1E" w:rsidP="00BE120C">
            <w:pPr>
              <w:pStyle w:val="BodyText"/>
              <w:spacing w:line="240" w:lineRule="auto"/>
              <w:ind w:left="-108" w:right="-108"/>
              <w:jc w:val="center"/>
              <w:rPr>
                <w:rFonts w:asciiTheme="minorHAnsi" w:hAnsiTheme="minorHAnsi"/>
                <w:b/>
                <w:spacing w:val="0"/>
                <w:sz w:val="22"/>
                <w:szCs w:val="22"/>
              </w:rPr>
            </w:pPr>
            <w:r>
              <w:rPr>
                <w:rFonts w:asciiTheme="minorHAnsi" w:hAnsiTheme="minorHAnsi"/>
                <w:b/>
                <w:spacing w:val="0"/>
                <w:sz w:val="22"/>
                <w:szCs w:val="22"/>
              </w:rPr>
              <w:t>Index</w:t>
            </w:r>
          </w:p>
          <w:p w:rsidR="002C5F1E" w:rsidRPr="00D51622" w:rsidRDefault="002C5F1E" w:rsidP="00BE120C">
            <w:pPr>
              <w:pStyle w:val="BodyText"/>
              <w:spacing w:line="240" w:lineRule="auto"/>
              <w:ind w:left="-108" w:right="-108"/>
              <w:jc w:val="center"/>
              <w:rPr>
                <w:rFonts w:asciiTheme="minorHAnsi" w:hAnsiTheme="minorHAnsi"/>
                <w:b/>
                <w:spacing w:val="0"/>
                <w:sz w:val="22"/>
                <w:szCs w:val="22"/>
              </w:rPr>
            </w:pPr>
            <w:r w:rsidRPr="00D51622">
              <w:rPr>
                <w:rFonts w:asciiTheme="minorHAnsi" w:hAnsiTheme="minorHAnsi"/>
                <w:b/>
                <w:spacing w:val="0"/>
                <w:sz w:val="22"/>
                <w:szCs w:val="22"/>
              </w:rPr>
              <w:t>Point</w:t>
            </w:r>
            <w:r>
              <w:rPr>
                <w:rFonts w:asciiTheme="minorHAnsi" w:hAnsiTheme="minorHAnsi"/>
                <w:b/>
                <w:spacing w:val="0"/>
                <w:sz w:val="22"/>
                <w:szCs w:val="22"/>
              </w:rPr>
              <w:t>(s)</w:t>
            </w:r>
          </w:p>
        </w:tc>
        <w:tc>
          <w:tcPr>
            <w:tcW w:w="2227" w:type="dxa"/>
            <w:tcBorders>
              <w:bottom w:val="single" w:sz="18" w:space="0" w:color="auto"/>
              <w:right w:val="single" w:sz="4" w:space="0" w:color="auto"/>
            </w:tcBorders>
            <w:shd w:val="clear" w:color="auto" w:fill="95B3D7" w:themeFill="accent1" w:themeFillTint="99"/>
          </w:tcPr>
          <w:p w:rsidR="002C5F1E" w:rsidRDefault="002C5F1E" w:rsidP="00BE120C">
            <w:pPr>
              <w:pStyle w:val="BodyText"/>
              <w:spacing w:line="240" w:lineRule="auto"/>
              <w:jc w:val="center"/>
              <w:rPr>
                <w:rFonts w:asciiTheme="minorHAnsi" w:hAnsiTheme="minorHAnsi"/>
                <w:b/>
                <w:spacing w:val="0"/>
                <w:sz w:val="22"/>
                <w:szCs w:val="22"/>
              </w:rPr>
            </w:pPr>
            <w:r>
              <w:rPr>
                <w:rFonts w:asciiTheme="minorHAnsi" w:hAnsiTheme="minorHAnsi"/>
                <w:b/>
                <w:spacing w:val="0"/>
                <w:sz w:val="22"/>
                <w:szCs w:val="22"/>
              </w:rPr>
              <w:t>Survey Constructs</w:t>
            </w:r>
          </w:p>
          <w:p w:rsidR="002C5F1E" w:rsidRPr="00D51622" w:rsidRDefault="002C5F1E" w:rsidP="00BE120C">
            <w:pPr>
              <w:pStyle w:val="BodyText"/>
              <w:spacing w:line="240" w:lineRule="auto"/>
              <w:jc w:val="center"/>
              <w:rPr>
                <w:rFonts w:asciiTheme="minorHAnsi" w:hAnsiTheme="minorHAnsi"/>
                <w:b/>
                <w:spacing w:val="0"/>
                <w:sz w:val="22"/>
                <w:szCs w:val="22"/>
              </w:rPr>
            </w:pPr>
            <w:r>
              <w:rPr>
                <w:rFonts w:asciiTheme="minorHAnsi" w:hAnsiTheme="minorHAnsi"/>
                <w:b/>
                <w:spacing w:val="0"/>
                <w:sz w:val="22"/>
                <w:szCs w:val="22"/>
              </w:rPr>
              <w:t>(Weighted Mean)</w:t>
            </w:r>
          </w:p>
        </w:tc>
        <w:tc>
          <w:tcPr>
            <w:tcW w:w="2228" w:type="dxa"/>
            <w:tcBorders>
              <w:bottom w:val="single" w:sz="18" w:space="0" w:color="auto"/>
              <w:right w:val="single" w:sz="4" w:space="0" w:color="auto"/>
            </w:tcBorders>
            <w:shd w:val="clear" w:color="auto" w:fill="95B3D7" w:themeFill="accent1" w:themeFillTint="99"/>
          </w:tcPr>
          <w:p w:rsidR="002C5F1E" w:rsidRPr="00D51622" w:rsidRDefault="002C5F1E" w:rsidP="00BE120C">
            <w:pPr>
              <w:pStyle w:val="BodyText"/>
              <w:spacing w:line="240" w:lineRule="auto"/>
              <w:jc w:val="center"/>
              <w:rPr>
                <w:rFonts w:asciiTheme="minorHAnsi" w:hAnsiTheme="minorHAnsi"/>
                <w:b/>
                <w:spacing w:val="0"/>
                <w:sz w:val="22"/>
                <w:szCs w:val="22"/>
              </w:rPr>
            </w:pPr>
            <w:r>
              <w:rPr>
                <w:rFonts w:asciiTheme="minorHAnsi" w:hAnsiTheme="minorHAnsi"/>
                <w:b/>
                <w:spacing w:val="0"/>
                <w:sz w:val="22"/>
                <w:szCs w:val="22"/>
              </w:rPr>
              <w:t>Attendance &amp; Graduation</w:t>
            </w:r>
          </w:p>
        </w:tc>
        <w:tc>
          <w:tcPr>
            <w:tcW w:w="2227" w:type="dxa"/>
            <w:tcBorders>
              <w:bottom w:val="single" w:sz="18" w:space="0" w:color="auto"/>
              <w:right w:val="single" w:sz="4" w:space="0" w:color="auto"/>
            </w:tcBorders>
            <w:shd w:val="clear" w:color="auto" w:fill="95B3D7" w:themeFill="accent1" w:themeFillTint="99"/>
          </w:tcPr>
          <w:p w:rsidR="002C5F1E" w:rsidRDefault="002C5F1E" w:rsidP="00BE120C">
            <w:pPr>
              <w:pStyle w:val="BodyText"/>
              <w:spacing w:line="240" w:lineRule="auto"/>
              <w:jc w:val="center"/>
              <w:rPr>
                <w:rFonts w:asciiTheme="minorHAnsi" w:hAnsiTheme="minorHAnsi"/>
                <w:b/>
                <w:spacing w:val="0"/>
                <w:sz w:val="22"/>
                <w:szCs w:val="22"/>
              </w:rPr>
            </w:pPr>
            <w:r>
              <w:rPr>
                <w:rFonts w:asciiTheme="minorHAnsi" w:hAnsiTheme="minorHAnsi"/>
                <w:b/>
                <w:spacing w:val="0"/>
                <w:sz w:val="22"/>
                <w:szCs w:val="22"/>
              </w:rPr>
              <w:t>Dropout*</w:t>
            </w:r>
          </w:p>
          <w:p w:rsidR="002C5F1E" w:rsidRPr="00D51622" w:rsidRDefault="002C5F1E" w:rsidP="00BE120C">
            <w:pPr>
              <w:pStyle w:val="BodyText"/>
              <w:spacing w:line="240" w:lineRule="auto"/>
              <w:jc w:val="center"/>
              <w:rPr>
                <w:rFonts w:asciiTheme="minorHAnsi" w:hAnsiTheme="minorHAnsi"/>
                <w:b/>
                <w:spacing w:val="0"/>
                <w:sz w:val="22"/>
                <w:szCs w:val="22"/>
              </w:rPr>
            </w:pPr>
          </w:p>
        </w:tc>
        <w:tc>
          <w:tcPr>
            <w:tcW w:w="2228" w:type="dxa"/>
            <w:tcBorders>
              <w:bottom w:val="single" w:sz="18" w:space="0" w:color="auto"/>
              <w:right w:val="single" w:sz="4" w:space="0" w:color="auto"/>
            </w:tcBorders>
            <w:shd w:val="clear" w:color="auto" w:fill="95B3D7" w:themeFill="accent1" w:themeFillTint="99"/>
          </w:tcPr>
          <w:p w:rsidR="002C5F1E" w:rsidRPr="00D51622" w:rsidRDefault="002C5F1E" w:rsidP="00BE120C">
            <w:pPr>
              <w:pStyle w:val="BodyText"/>
              <w:spacing w:line="240" w:lineRule="auto"/>
              <w:jc w:val="center"/>
              <w:rPr>
                <w:rFonts w:asciiTheme="minorHAnsi" w:hAnsiTheme="minorHAnsi"/>
                <w:b/>
                <w:spacing w:val="0"/>
                <w:sz w:val="22"/>
                <w:szCs w:val="22"/>
              </w:rPr>
            </w:pPr>
            <w:r>
              <w:rPr>
                <w:rFonts w:asciiTheme="minorHAnsi" w:hAnsiTheme="minorHAnsi"/>
                <w:b/>
                <w:spacing w:val="0"/>
                <w:sz w:val="22"/>
                <w:szCs w:val="22"/>
              </w:rPr>
              <w:t>S/E Violent-Fighting &amp;  S/E Total</w:t>
            </w:r>
          </w:p>
        </w:tc>
      </w:tr>
      <w:tr w:rsidR="002C5F1E" w:rsidRPr="00D51622" w:rsidTr="00BE120C">
        <w:trPr>
          <w:trHeight w:val="374"/>
        </w:trPr>
        <w:tc>
          <w:tcPr>
            <w:tcW w:w="810" w:type="dxa"/>
            <w:tcBorders>
              <w:top w:val="single" w:sz="18" w:space="0" w:color="auto"/>
              <w:bottom w:val="single" w:sz="4" w:space="0" w:color="auto"/>
              <w:right w:val="single" w:sz="4" w:space="0" w:color="auto"/>
            </w:tcBorders>
            <w:shd w:val="clear" w:color="auto" w:fill="92D050"/>
            <w:vAlign w:val="center"/>
          </w:tcPr>
          <w:p w:rsidR="002C5F1E" w:rsidRPr="00D51622" w:rsidRDefault="002C5F1E" w:rsidP="00BE120C">
            <w:pPr>
              <w:pStyle w:val="BodyText"/>
              <w:spacing w:line="240" w:lineRule="auto"/>
              <w:jc w:val="center"/>
              <w:rPr>
                <w:rFonts w:asciiTheme="minorHAnsi" w:hAnsiTheme="minorHAnsi"/>
                <w:b/>
                <w:spacing w:val="0"/>
                <w:sz w:val="22"/>
                <w:szCs w:val="22"/>
              </w:rPr>
            </w:pPr>
            <w:r>
              <w:rPr>
                <w:rFonts w:asciiTheme="minorHAnsi" w:hAnsiTheme="minorHAnsi"/>
                <w:b/>
                <w:spacing w:val="0"/>
                <w:sz w:val="22"/>
                <w:szCs w:val="22"/>
              </w:rPr>
              <w:t>3</w:t>
            </w:r>
          </w:p>
        </w:tc>
        <w:tc>
          <w:tcPr>
            <w:tcW w:w="2227" w:type="dxa"/>
            <w:tcBorders>
              <w:top w:val="single" w:sz="18" w:space="0" w:color="auto"/>
              <w:left w:val="single" w:sz="4" w:space="0" w:color="auto"/>
              <w:bottom w:val="single" w:sz="4" w:space="0" w:color="auto"/>
              <w:right w:val="single" w:sz="4" w:space="0" w:color="auto"/>
            </w:tcBorders>
            <w:shd w:val="clear" w:color="auto" w:fill="auto"/>
            <w:vAlign w:val="center"/>
          </w:tcPr>
          <w:p w:rsidR="002C5F1E" w:rsidRPr="00945C0D" w:rsidRDefault="002C5F1E" w:rsidP="00BE120C">
            <w:pPr>
              <w:pStyle w:val="BodyText"/>
              <w:spacing w:line="240" w:lineRule="auto"/>
              <w:jc w:val="center"/>
              <w:rPr>
                <w:rFonts w:asciiTheme="minorHAnsi" w:hAnsiTheme="minorHAnsi"/>
                <w:spacing w:val="0"/>
                <w:sz w:val="22"/>
                <w:szCs w:val="22"/>
              </w:rPr>
            </w:pPr>
            <w:r>
              <w:rPr>
                <w:rFonts w:asciiTheme="minorHAnsi" w:hAnsiTheme="minorHAnsi"/>
                <w:spacing w:val="0"/>
                <w:sz w:val="22"/>
                <w:szCs w:val="22"/>
              </w:rPr>
              <w:t>=3.25</w:t>
            </w:r>
          </w:p>
        </w:tc>
        <w:tc>
          <w:tcPr>
            <w:tcW w:w="2228" w:type="dxa"/>
            <w:tcBorders>
              <w:top w:val="single" w:sz="18" w:space="0" w:color="auto"/>
              <w:left w:val="single" w:sz="4" w:space="0" w:color="auto"/>
              <w:bottom w:val="single" w:sz="4" w:space="0" w:color="auto"/>
              <w:right w:val="single" w:sz="4" w:space="0" w:color="auto"/>
            </w:tcBorders>
            <w:shd w:val="clear" w:color="auto" w:fill="auto"/>
            <w:vAlign w:val="center"/>
          </w:tcPr>
          <w:p w:rsidR="002C5F1E" w:rsidRPr="00945C0D" w:rsidRDefault="002C5F1E" w:rsidP="00BE120C">
            <w:pPr>
              <w:pStyle w:val="BodyText"/>
              <w:spacing w:line="240" w:lineRule="auto"/>
              <w:jc w:val="center"/>
              <w:rPr>
                <w:rFonts w:asciiTheme="minorHAnsi" w:hAnsiTheme="minorHAnsi"/>
                <w:spacing w:val="0"/>
                <w:sz w:val="22"/>
                <w:szCs w:val="22"/>
              </w:rPr>
            </w:pPr>
            <w:r>
              <w:rPr>
                <w:rFonts w:asciiTheme="minorHAnsi" w:hAnsiTheme="minorHAnsi"/>
                <w:spacing w:val="0"/>
                <w:sz w:val="22"/>
                <w:szCs w:val="22"/>
              </w:rPr>
              <w:t>=95%</w:t>
            </w:r>
          </w:p>
        </w:tc>
        <w:tc>
          <w:tcPr>
            <w:tcW w:w="2227" w:type="dxa"/>
            <w:tcBorders>
              <w:top w:val="single" w:sz="18" w:space="0" w:color="auto"/>
              <w:left w:val="single" w:sz="4" w:space="0" w:color="auto"/>
              <w:bottom w:val="single" w:sz="4" w:space="0" w:color="auto"/>
              <w:right w:val="single" w:sz="4" w:space="0" w:color="auto"/>
            </w:tcBorders>
            <w:shd w:val="clear" w:color="auto" w:fill="auto"/>
            <w:vAlign w:val="center"/>
          </w:tcPr>
          <w:p w:rsidR="002C5F1E" w:rsidRPr="00945C0D" w:rsidRDefault="002C5F1E" w:rsidP="00BE120C">
            <w:pPr>
              <w:pStyle w:val="BodyText"/>
              <w:spacing w:line="240" w:lineRule="auto"/>
              <w:jc w:val="center"/>
              <w:rPr>
                <w:rFonts w:asciiTheme="minorHAnsi" w:hAnsiTheme="minorHAnsi"/>
                <w:spacing w:val="0"/>
                <w:sz w:val="22"/>
                <w:szCs w:val="22"/>
              </w:rPr>
            </w:pPr>
            <w:r>
              <w:rPr>
                <w:rFonts w:ascii="Calibri" w:hAnsi="Calibri"/>
                <w:spacing w:val="0"/>
                <w:sz w:val="22"/>
                <w:szCs w:val="22"/>
              </w:rPr>
              <w:t>=</w:t>
            </w:r>
            <w:r>
              <w:rPr>
                <w:rFonts w:asciiTheme="minorHAnsi" w:hAnsiTheme="minorHAnsi"/>
                <w:spacing w:val="0"/>
                <w:sz w:val="22"/>
                <w:szCs w:val="22"/>
              </w:rPr>
              <w:t>1.25%</w:t>
            </w:r>
          </w:p>
        </w:tc>
        <w:tc>
          <w:tcPr>
            <w:tcW w:w="2228" w:type="dxa"/>
            <w:tcBorders>
              <w:top w:val="single" w:sz="18" w:space="0" w:color="auto"/>
              <w:left w:val="single" w:sz="4" w:space="0" w:color="auto"/>
              <w:bottom w:val="single" w:sz="4" w:space="0" w:color="auto"/>
              <w:right w:val="single" w:sz="4" w:space="0" w:color="auto"/>
            </w:tcBorders>
            <w:shd w:val="clear" w:color="auto" w:fill="auto"/>
            <w:vAlign w:val="center"/>
          </w:tcPr>
          <w:p w:rsidR="002C5F1E" w:rsidRPr="00945C0D" w:rsidRDefault="002C5F1E" w:rsidP="00BE120C">
            <w:pPr>
              <w:pStyle w:val="BodyText"/>
              <w:spacing w:line="240" w:lineRule="auto"/>
              <w:jc w:val="center"/>
              <w:rPr>
                <w:rFonts w:asciiTheme="minorHAnsi" w:hAnsiTheme="minorHAnsi"/>
                <w:spacing w:val="0"/>
                <w:sz w:val="22"/>
                <w:szCs w:val="22"/>
              </w:rPr>
            </w:pPr>
            <w:r>
              <w:rPr>
                <w:rFonts w:asciiTheme="minorHAnsi" w:hAnsiTheme="minorHAnsi"/>
                <w:spacing w:val="0"/>
                <w:sz w:val="22"/>
                <w:szCs w:val="22"/>
              </w:rPr>
              <w:t>&lt;5%</w:t>
            </w:r>
          </w:p>
        </w:tc>
      </w:tr>
      <w:tr w:rsidR="002C5F1E" w:rsidRPr="00D51622" w:rsidTr="00BE120C">
        <w:trPr>
          <w:trHeight w:val="374"/>
        </w:trPr>
        <w:tc>
          <w:tcPr>
            <w:tcW w:w="810" w:type="dxa"/>
            <w:tcBorders>
              <w:top w:val="single" w:sz="4" w:space="0" w:color="auto"/>
              <w:bottom w:val="single" w:sz="4" w:space="0" w:color="auto"/>
              <w:right w:val="single" w:sz="4" w:space="0" w:color="auto"/>
            </w:tcBorders>
            <w:shd w:val="clear" w:color="auto" w:fill="FFFF00"/>
            <w:vAlign w:val="center"/>
          </w:tcPr>
          <w:p w:rsidR="002C5F1E" w:rsidRPr="00D51622" w:rsidRDefault="002C5F1E" w:rsidP="00BE120C">
            <w:pPr>
              <w:pStyle w:val="BodyText"/>
              <w:spacing w:line="240" w:lineRule="auto"/>
              <w:jc w:val="center"/>
              <w:rPr>
                <w:rFonts w:asciiTheme="minorHAnsi" w:hAnsiTheme="minorHAnsi"/>
                <w:b/>
                <w:spacing w:val="0"/>
                <w:sz w:val="22"/>
                <w:szCs w:val="22"/>
              </w:rPr>
            </w:pPr>
            <w:r>
              <w:rPr>
                <w:rFonts w:asciiTheme="minorHAnsi" w:hAnsiTheme="minorHAnsi"/>
                <w:b/>
                <w:spacing w:val="0"/>
                <w:sz w:val="22"/>
                <w:szCs w:val="22"/>
              </w:rPr>
              <w:t>2</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2C5F1E" w:rsidRPr="00945C0D" w:rsidRDefault="002C5F1E" w:rsidP="00BE120C">
            <w:pPr>
              <w:pStyle w:val="BodyText"/>
              <w:spacing w:line="240" w:lineRule="auto"/>
              <w:jc w:val="center"/>
              <w:rPr>
                <w:rFonts w:asciiTheme="minorHAnsi" w:hAnsiTheme="minorHAnsi"/>
                <w:spacing w:val="0"/>
                <w:sz w:val="22"/>
                <w:szCs w:val="22"/>
              </w:rPr>
            </w:pPr>
            <w:r>
              <w:rPr>
                <w:rFonts w:asciiTheme="minorHAnsi" w:hAnsiTheme="minorHAnsi"/>
                <w:spacing w:val="0"/>
                <w:sz w:val="22"/>
                <w:szCs w:val="22"/>
              </w:rPr>
              <w:t>3.0 – 3.24</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2C5F1E" w:rsidRPr="00945C0D" w:rsidRDefault="002C5F1E" w:rsidP="00BE120C">
            <w:pPr>
              <w:pStyle w:val="BodyText"/>
              <w:spacing w:line="240" w:lineRule="auto"/>
              <w:jc w:val="center"/>
              <w:rPr>
                <w:rFonts w:asciiTheme="minorHAnsi" w:hAnsiTheme="minorHAnsi"/>
                <w:spacing w:val="0"/>
                <w:sz w:val="22"/>
                <w:szCs w:val="22"/>
              </w:rPr>
            </w:pPr>
            <w:r>
              <w:rPr>
                <w:rFonts w:asciiTheme="minorHAnsi" w:hAnsiTheme="minorHAnsi"/>
                <w:spacing w:val="0"/>
                <w:sz w:val="22"/>
                <w:szCs w:val="22"/>
              </w:rPr>
              <w:t>87.5 – 94.99%</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2C5F1E" w:rsidRPr="00945C0D" w:rsidRDefault="002C5F1E" w:rsidP="00BE120C">
            <w:pPr>
              <w:pStyle w:val="BodyText"/>
              <w:spacing w:line="240" w:lineRule="auto"/>
              <w:jc w:val="center"/>
              <w:rPr>
                <w:rFonts w:asciiTheme="minorHAnsi" w:hAnsiTheme="minorHAnsi"/>
                <w:spacing w:val="0"/>
                <w:sz w:val="22"/>
                <w:szCs w:val="22"/>
              </w:rPr>
            </w:pPr>
            <w:r>
              <w:rPr>
                <w:rFonts w:asciiTheme="minorHAnsi" w:hAnsiTheme="minorHAnsi"/>
                <w:spacing w:val="0"/>
                <w:sz w:val="22"/>
                <w:szCs w:val="22"/>
              </w:rPr>
              <w:t>1.26 – 1.5%</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2C5F1E" w:rsidRPr="00945C0D" w:rsidRDefault="002C5F1E" w:rsidP="00BE120C">
            <w:pPr>
              <w:pStyle w:val="BodyText"/>
              <w:spacing w:line="240" w:lineRule="auto"/>
              <w:jc w:val="center"/>
              <w:rPr>
                <w:rFonts w:asciiTheme="minorHAnsi" w:hAnsiTheme="minorHAnsi"/>
                <w:spacing w:val="0"/>
                <w:sz w:val="22"/>
                <w:szCs w:val="22"/>
              </w:rPr>
            </w:pPr>
            <w:r>
              <w:rPr>
                <w:rFonts w:asciiTheme="minorHAnsi" w:hAnsiTheme="minorHAnsi"/>
                <w:spacing w:val="0"/>
                <w:sz w:val="22"/>
                <w:szCs w:val="22"/>
              </w:rPr>
              <w:t>5  – 12.49%</w:t>
            </w:r>
          </w:p>
        </w:tc>
      </w:tr>
      <w:tr w:rsidR="002C5F1E" w:rsidRPr="00D51622" w:rsidTr="00BE120C">
        <w:trPr>
          <w:trHeight w:val="374"/>
        </w:trPr>
        <w:tc>
          <w:tcPr>
            <w:tcW w:w="810" w:type="dxa"/>
            <w:tcBorders>
              <w:top w:val="single" w:sz="4" w:space="0" w:color="auto"/>
              <w:bottom w:val="single" w:sz="4" w:space="0" w:color="auto"/>
              <w:right w:val="single" w:sz="4" w:space="0" w:color="auto"/>
            </w:tcBorders>
            <w:shd w:val="clear" w:color="auto" w:fill="FD6D01"/>
            <w:vAlign w:val="center"/>
          </w:tcPr>
          <w:p w:rsidR="002C5F1E" w:rsidRPr="00D51622" w:rsidRDefault="002C5F1E" w:rsidP="00BE120C">
            <w:pPr>
              <w:pStyle w:val="BodyText"/>
              <w:spacing w:line="240" w:lineRule="auto"/>
              <w:jc w:val="center"/>
              <w:rPr>
                <w:rFonts w:asciiTheme="minorHAnsi" w:hAnsiTheme="minorHAnsi"/>
                <w:b/>
                <w:spacing w:val="0"/>
                <w:sz w:val="22"/>
                <w:szCs w:val="22"/>
              </w:rPr>
            </w:pPr>
            <w:r>
              <w:rPr>
                <w:rFonts w:asciiTheme="minorHAnsi" w:hAnsiTheme="minorHAnsi"/>
                <w:b/>
                <w:spacing w:val="0"/>
                <w:sz w:val="22"/>
                <w:szCs w:val="22"/>
              </w:rPr>
              <w:t>1</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2C5F1E" w:rsidRPr="00945C0D" w:rsidRDefault="002C5F1E" w:rsidP="00BE120C">
            <w:pPr>
              <w:pStyle w:val="BodyText"/>
              <w:spacing w:line="240" w:lineRule="auto"/>
              <w:jc w:val="center"/>
              <w:rPr>
                <w:rFonts w:asciiTheme="minorHAnsi" w:hAnsiTheme="minorHAnsi"/>
                <w:spacing w:val="0"/>
                <w:sz w:val="22"/>
                <w:szCs w:val="22"/>
              </w:rPr>
            </w:pPr>
            <w:r>
              <w:rPr>
                <w:rFonts w:asciiTheme="minorHAnsi" w:hAnsiTheme="minorHAnsi"/>
                <w:spacing w:val="0"/>
                <w:sz w:val="22"/>
                <w:szCs w:val="22"/>
              </w:rPr>
              <w:t>2.75 – 2.99</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2C5F1E" w:rsidRPr="00945C0D" w:rsidRDefault="002C5F1E" w:rsidP="00BE120C">
            <w:pPr>
              <w:pStyle w:val="BodyText"/>
              <w:spacing w:line="240" w:lineRule="auto"/>
              <w:jc w:val="center"/>
              <w:rPr>
                <w:rFonts w:asciiTheme="minorHAnsi" w:hAnsiTheme="minorHAnsi"/>
                <w:spacing w:val="0"/>
                <w:sz w:val="22"/>
                <w:szCs w:val="22"/>
              </w:rPr>
            </w:pPr>
            <w:r>
              <w:rPr>
                <w:rFonts w:asciiTheme="minorHAnsi" w:hAnsiTheme="minorHAnsi"/>
                <w:spacing w:val="0"/>
                <w:sz w:val="22"/>
                <w:szCs w:val="22"/>
              </w:rPr>
              <w:t>80 – 87.49%</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2C5F1E" w:rsidRPr="00945C0D" w:rsidRDefault="002C5F1E" w:rsidP="00BE120C">
            <w:pPr>
              <w:pStyle w:val="BodyText"/>
              <w:spacing w:line="240" w:lineRule="auto"/>
              <w:jc w:val="center"/>
              <w:rPr>
                <w:rFonts w:asciiTheme="minorHAnsi" w:hAnsiTheme="minorHAnsi"/>
                <w:spacing w:val="0"/>
                <w:sz w:val="22"/>
                <w:szCs w:val="22"/>
              </w:rPr>
            </w:pPr>
            <w:r>
              <w:rPr>
                <w:rFonts w:asciiTheme="minorHAnsi" w:hAnsiTheme="minorHAnsi"/>
                <w:spacing w:val="0"/>
                <w:sz w:val="22"/>
                <w:szCs w:val="22"/>
              </w:rPr>
              <w:t>1.51 – 1.75%</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2C5F1E" w:rsidRPr="00945C0D" w:rsidRDefault="002C5F1E" w:rsidP="00BE120C">
            <w:pPr>
              <w:pStyle w:val="BodyText"/>
              <w:spacing w:line="240" w:lineRule="auto"/>
              <w:jc w:val="center"/>
              <w:rPr>
                <w:rFonts w:asciiTheme="minorHAnsi" w:hAnsiTheme="minorHAnsi"/>
                <w:spacing w:val="0"/>
                <w:sz w:val="22"/>
                <w:szCs w:val="22"/>
              </w:rPr>
            </w:pPr>
            <w:r>
              <w:rPr>
                <w:rFonts w:asciiTheme="minorHAnsi" w:hAnsiTheme="minorHAnsi"/>
                <w:spacing w:val="0"/>
                <w:sz w:val="22"/>
                <w:szCs w:val="22"/>
              </w:rPr>
              <w:t>12.5 – 19.99%</w:t>
            </w:r>
          </w:p>
        </w:tc>
      </w:tr>
      <w:tr w:rsidR="002C5F1E" w:rsidRPr="00D51622" w:rsidTr="00BE120C">
        <w:trPr>
          <w:trHeight w:val="374"/>
        </w:trPr>
        <w:tc>
          <w:tcPr>
            <w:tcW w:w="810" w:type="dxa"/>
            <w:tcBorders>
              <w:top w:val="single" w:sz="4" w:space="0" w:color="auto"/>
              <w:bottom w:val="single" w:sz="4" w:space="0" w:color="auto"/>
              <w:right w:val="single" w:sz="4" w:space="0" w:color="auto"/>
            </w:tcBorders>
            <w:shd w:val="clear" w:color="auto" w:fill="C00000"/>
            <w:vAlign w:val="center"/>
          </w:tcPr>
          <w:p w:rsidR="002C5F1E" w:rsidRPr="00D51622" w:rsidRDefault="002C5F1E" w:rsidP="00BE120C">
            <w:pPr>
              <w:pStyle w:val="BodyText"/>
              <w:spacing w:line="240" w:lineRule="auto"/>
              <w:jc w:val="center"/>
              <w:rPr>
                <w:rFonts w:asciiTheme="minorHAnsi" w:hAnsiTheme="minorHAnsi"/>
                <w:b/>
                <w:spacing w:val="0"/>
                <w:sz w:val="22"/>
                <w:szCs w:val="22"/>
              </w:rPr>
            </w:pPr>
            <w:r>
              <w:rPr>
                <w:rFonts w:asciiTheme="minorHAnsi" w:hAnsiTheme="minorHAnsi"/>
                <w:b/>
                <w:spacing w:val="0"/>
                <w:sz w:val="22"/>
                <w:szCs w:val="22"/>
              </w:rPr>
              <w:t>0</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2C5F1E" w:rsidRPr="00945C0D" w:rsidRDefault="002C5F1E" w:rsidP="00BE120C">
            <w:pPr>
              <w:pStyle w:val="BodyText"/>
              <w:spacing w:line="240" w:lineRule="auto"/>
              <w:jc w:val="center"/>
              <w:rPr>
                <w:rFonts w:asciiTheme="minorHAnsi" w:hAnsiTheme="minorHAnsi"/>
                <w:spacing w:val="0"/>
                <w:sz w:val="22"/>
                <w:szCs w:val="22"/>
              </w:rPr>
            </w:pPr>
            <w:r>
              <w:rPr>
                <w:rFonts w:asciiTheme="minorHAnsi" w:hAnsiTheme="minorHAnsi"/>
                <w:spacing w:val="0"/>
                <w:sz w:val="22"/>
                <w:szCs w:val="22"/>
              </w:rPr>
              <w:t>&lt;2.75</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2C5F1E" w:rsidRPr="00945C0D" w:rsidRDefault="002C5F1E" w:rsidP="00BE120C">
            <w:pPr>
              <w:pStyle w:val="BodyText"/>
              <w:spacing w:line="240" w:lineRule="auto"/>
              <w:jc w:val="center"/>
              <w:rPr>
                <w:rFonts w:asciiTheme="minorHAnsi" w:hAnsiTheme="minorHAnsi"/>
                <w:spacing w:val="0"/>
                <w:sz w:val="22"/>
                <w:szCs w:val="22"/>
              </w:rPr>
            </w:pPr>
            <w:r>
              <w:rPr>
                <w:rFonts w:asciiTheme="minorHAnsi" w:hAnsiTheme="minorHAnsi"/>
                <w:spacing w:val="0"/>
                <w:sz w:val="22"/>
                <w:szCs w:val="22"/>
              </w:rPr>
              <w:t>&lt;80%</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2C5F1E" w:rsidRPr="00945C0D" w:rsidRDefault="002C5F1E" w:rsidP="00BE120C">
            <w:pPr>
              <w:pStyle w:val="BodyText"/>
              <w:spacing w:line="240" w:lineRule="auto"/>
              <w:jc w:val="center"/>
              <w:rPr>
                <w:rFonts w:asciiTheme="minorHAnsi" w:hAnsiTheme="minorHAnsi"/>
                <w:spacing w:val="0"/>
                <w:sz w:val="22"/>
                <w:szCs w:val="22"/>
              </w:rPr>
            </w:pPr>
            <w:r>
              <w:rPr>
                <w:rFonts w:asciiTheme="minorHAnsi" w:hAnsiTheme="minorHAnsi"/>
                <w:spacing w:val="0"/>
                <w:sz w:val="22"/>
                <w:szCs w:val="22"/>
              </w:rPr>
              <w:t>&gt;1.75%</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2C5F1E" w:rsidRPr="00945C0D" w:rsidRDefault="002C5F1E" w:rsidP="00BE120C">
            <w:pPr>
              <w:pStyle w:val="BodyText"/>
              <w:spacing w:line="240" w:lineRule="auto"/>
              <w:jc w:val="center"/>
              <w:rPr>
                <w:rFonts w:asciiTheme="minorHAnsi" w:hAnsiTheme="minorHAnsi"/>
                <w:spacing w:val="0"/>
                <w:sz w:val="22"/>
                <w:szCs w:val="22"/>
              </w:rPr>
            </w:pPr>
            <w:r>
              <w:rPr>
                <w:rFonts w:asciiTheme="minorHAnsi" w:hAnsiTheme="minorHAnsi"/>
                <w:spacing w:val="0"/>
                <w:sz w:val="22"/>
                <w:szCs w:val="22"/>
              </w:rPr>
              <w:t>=20%</w:t>
            </w:r>
          </w:p>
        </w:tc>
      </w:tr>
    </w:tbl>
    <w:p w:rsidR="002C5F1E" w:rsidRPr="00E42EFE" w:rsidRDefault="002C5F1E" w:rsidP="002C5F1E">
      <w:pPr>
        <w:spacing w:after="0" w:line="240" w:lineRule="auto"/>
        <w:ind w:right="-270"/>
        <w:rPr>
          <w:sz w:val="20"/>
          <w:szCs w:val="20"/>
        </w:rPr>
      </w:pPr>
      <w:r w:rsidRPr="007C1EEC">
        <w:rPr>
          <w:b/>
          <w:sz w:val="20"/>
          <w:szCs w:val="20"/>
        </w:rPr>
        <w:t>*Dropout</w:t>
      </w:r>
      <w:r w:rsidRPr="007C1EEC">
        <w:rPr>
          <w:sz w:val="20"/>
          <w:szCs w:val="20"/>
        </w:rPr>
        <w:t xml:space="preserve"> is determined using an annual calculation; multiplying the dropout annual percentage by 4 provides a 4-year reflection of dropout rate (e.g., 1.25 x 4 = 5%) which is inversely related to Iowa’s 4-year cohort graduation rate.</w:t>
      </w:r>
      <w:r>
        <w:rPr>
          <w:sz w:val="20"/>
          <w:szCs w:val="20"/>
        </w:rPr>
        <w:t xml:space="preserve">   </w:t>
      </w:r>
    </w:p>
    <w:p w:rsidR="002C5F1E" w:rsidRDefault="002C5F1E">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br w:type="page"/>
      </w:r>
    </w:p>
    <w:p w:rsidR="000B65E8" w:rsidRPr="00E32614" w:rsidRDefault="000B65E8" w:rsidP="000B65E8">
      <w:pPr>
        <w:spacing w:line="240" w:lineRule="auto"/>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lastRenderedPageBreak/>
        <w:t xml:space="preserve">Index </w:t>
      </w:r>
      <w:r w:rsidRPr="00E32614">
        <w:rPr>
          <w:rFonts w:asciiTheme="majorHAnsi" w:hAnsiTheme="majorHAnsi"/>
          <w:b/>
          <w:color w:val="365F91" w:themeColor="accent1" w:themeShade="BF"/>
          <w:sz w:val="28"/>
          <w:szCs w:val="28"/>
        </w:rPr>
        <w:t>Data Element Definitions</w:t>
      </w:r>
    </w:p>
    <w:p w:rsidR="000B65E8" w:rsidRPr="008B2D3B" w:rsidRDefault="000B65E8" w:rsidP="000B65E8">
      <w:pPr>
        <w:spacing w:line="240" w:lineRule="auto"/>
        <w:ind w:firstLine="360"/>
      </w:pPr>
      <w:r w:rsidRPr="008B2D3B">
        <w:t xml:space="preserve">Table </w:t>
      </w:r>
      <w:r w:rsidR="002C5F1E">
        <w:t>3</w:t>
      </w:r>
      <w:r w:rsidRPr="008B2D3B">
        <w:t xml:space="preserve"> below outlines the broad definition of the data elements across the three domains of </w:t>
      </w:r>
      <w:r w:rsidRPr="008B2D3B">
        <w:rPr>
          <w:b/>
        </w:rPr>
        <w:t>Safety</w:t>
      </w:r>
      <w:r w:rsidRPr="008B2D3B">
        <w:t xml:space="preserve">, </w:t>
      </w:r>
      <w:r w:rsidRPr="008B2D3B">
        <w:rPr>
          <w:b/>
        </w:rPr>
        <w:t>Engagement</w:t>
      </w:r>
      <w:r w:rsidRPr="008B2D3B">
        <w:t xml:space="preserve">, and </w:t>
      </w:r>
      <w:r w:rsidRPr="008B2D3B">
        <w:rPr>
          <w:b/>
        </w:rPr>
        <w:t>Environment</w:t>
      </w:r>
      <w:r w:rsidRPr="008B2D3B">
        <w:t xml:space="preserve">. </w:t>
      </w:r>
    </w:p>
    <w:tbl>
      <w:tblPr>
        <w:tblStyle w:val="LightShading-Accent111"/>
        <w:tblW w:w="0" w:type="auto"/>
        <w:jc w:val="center"/>
        <w:tblLook w:val="04A0" w:firstRow="1" w:lastRow="0" w:firstColumn="1" w:lastColumn="0" w:noHBand="0" w:noVBand="1"/>
      </w:tblPr>
      <w:tblGrid>
        <w:gridCol w:w="1058"/>
        <w:gridCol w:w="2767"/>
        <w:gridCol w:w="5751"/>
      </w:tblGrid>
      <w:tr w:rsidR="000B65E8" w:rsidRPr="00FE1805" w:rsidTr="00BE12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8" w:type="dxa"/>
            <w:gridSpan w:val="3"/>
            <w:tcBorders>
              <w:top w:val="nil"/>
            </w:tcBorders>
            <w:shd w:val="clear" w:color="auto" w:fill="auto"/>
          </w:tcPr>
          <w:p w:rsidR="000B65E8" w:rsidRPr="00FE1805" w:rsidRDefault="000B65E8" w:rsidP="002C5F1E">
            <w:pPr>
              <w:rPr>
                <w:b w:val="0"/>
              </w:rPr>
            </w:pPr>
            <w:bookmarkStart w:id="11" w:name="_Toc305431821"/>
            <w:bookmarkStart w:id="12" w:name="_Toc320097254"/>
            <w:bookmarkStart w:id="13" w:name="_Toc321521576"/>
            <w:bookmarkStart w:id="14" w:name="_Toc326224159"/>
            <w:r>
              <w:rPr>
                <w:rStyle w:val="Heading3Char"/>
                <w:rFonts w:asciiTheme="minorHAnsi" w:hAnsiTheme="minorHAnsi"/>
                <w:i/>
              </w:rPr>
              <w:t xml:space="preserve">Table </w:t>
            </w:r>
            <w:r w:rsidR="002C5F1E">
              <w:rPr>
                <w:rStyle w:val="Heading3Char"/>
                <w:rFonts w:asciiTheme="minorHAnsi" w:hAnsiTheme="minorHAnsi"/>
                <w:i/>
              </w:rPr>
              <w:t>3</w:t>
            </w:r>
            <w:r>
              <w:rPr>
                <w:rStyle w:val="Heading3Char"/>
                <w:rFonts w:asciiTheme="minorHAnsi" w:hAnsiTheme="minorHAnsi"/>
              </w:rPr>
              <w:t>.  Broad Definition of</w:t>
            </w:r>
            <w:r w:rsidRPr="00FE1805">
              <w:rPr>
                <w:rStyle w:val="Heading3Char"/>
                <w:rFonts w:asciiTheme="minorHAnsi" w:hAnsiTheme="minorHAnsi"/>
              </w:rPr>
              <w:t xml:space="preserve"> Data Elements</w:t>
            </w:r>
            <w:bookmarkEnd w:id="11"/>
            <w:bookmarkEnd w:id="12"/>
            <w:bookmarkEnd w:id="13"/>
            <w:bookmarkEnd w:id="14"/>
            <w:r w:rsidRPr="00FE1805">
              <w:rPr>
                <w:rStyle w:val="FootnoteReference"/>
                <w:b w:val="0"/>
              </w:rPr>
              <w:footnoteReference w:id="1"/>
            </w:r>
          </w:p>
        </w:tc>
      </w:tr>
      <w:tr w:rsidR="000B65E8" w:rsidRPr="00AA783C" w:rsidTr="00BE12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rsidR="000B65E8" w:rsidRPr="00AA783C" w:rsidRDefault="000B65E8" w:rsidP="00BE120C">
            <w:pPr>
              <w:jc w:val="center"/>
            </w:pPr>
            <w:r w:rsidRPr="00AA783C">
              <w:t>Data Element</w:t>
            </w:r>
          </w:p>
        </w:tc>
        <w:tc>
          <w:tcPr>
            <w:tcW w:w="60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rsidR="000B65E8" w:rsidRPr="00AA783C" w:rsidRDefault="000B65E8" w:rsidP="00BE120C">
            <w:pPr>
              <w:jc w:val="center"/>
              <w:cnfStyle w:val="000000100000" w:firstRow="0" w:lastRow="0" w:firstColumn="0" w:lastColumn="0" w:oddVBand="0" w:evenVBand="0" w:oddHBand="1" w:evenHBand="0" w:firstRowFirstColumn="0" w:firstRowLastColumn="0" w:lastRowFirstColumn="0" w:lastRowLastColumn="0"/>
              <w:rPr>
                <w:b/>
              </w:rPr>
            </w:pPr>
            <w:r w:rsidRPr="00AA783C">
              <w:rPr>
                <w:b/>
              </w:rPr>
              <w:t>Broad Definition</w:t>
            </w:r>
          </w:p>
        </w:tc>
      </w:tr>
      <w:tr w:rsidR="000B65E8" w:rsidRPr="00AA783C" w:rsidTr="00BE120C">
        <w:trPr>
          <w:jc w:val="center"/>
        </w:trPr>
        <w:tc>
          <w:tcPr>
            <w:cnfStyle w:val="001000000000" w:firstRow="0" w:lastRow="0" w:firstColumn="1" w:lastColumn="0" w:oddVBand="0" w:evenVBand="0" w:oddHBand="0" w:evenHBand="0" w:firstRowFirstColumn="0" w:firstRowLastColumn="0" w:lastRowFirstColumn="0" w:lastRowLastColumn="0"/>
            <w:tcW w:w="9918"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CC66"/>
          </w:tcPr>
          <w:p w:rsidR="000B65E8" w:rsidRPr="00AA783C" w:rsidRDefault="000B65E8" w:rsidP="00BE120C">
            <w:pPr>
              <w:jc w:val="center"/>
              <w:rPr>
                <w:sz w:val="28"/>
                <w:szCs w:val="28"/>
              </w:rPr>
            </w:pPr>
            <w:r w:rsidRPr="00AA783C">
              <w:rPr>
                <w:i/>
                <w:sz w:val="28"/>
                <w:szCs w:val="28"/>
              </w:rPr>
              <w:t>Safety</w:t>
            </w:r>
            <w:r>
              <w:rPr>
                <w:i/>
                <w:sz w:val="28"/>
                <w:szCs w:val="28"/>
              </w:rPr>
              <w:t xml:space="preserve"> Domain</w:t>
            </w:r>
          </w:p>
        </w:tc>
      </w:tr>
      <w:tr w:rsidR="000B65E8" w:rsidTr="00BE120C">
        <w:trPr>
          <w:cnfStyle w:val="000000100000" w:firstRow="0" w:lastRow="0" w:firstColumn="0" w:lastColumn="0" w:oddVBand="0" w:evenVBand="0" w:oddHBand="1" w:evenHBand="0" w:firstRowFirstColumn="0" w:firstRowLastColumn="0" w:lastRowFirstColumn="0" w:lastRowLastColumn="0"/>
          <w:trHeight w:val="603"/>
          <w:jc w:val="center"/>
        </w:trPr>
        <w:tc>
          <w:tcPr>
            <w:cnfStyle w:val="001000000000" w:firstRow="0" w:lastRow="0" w:firstColumn="1" w:lastColumn="0" w:oddVBand="0" w:evenVBand="0" w:oddHBand="0" w:evenHBand="0" w:firstRowFirstColumn="0" w:firstRowLastColumn="0" w:lastRowFirstColumn="0" w:lastRowLastColumn="0"/>
            <w:tcW w:w="1098" w:type="dxa"/>
            <w:vMerge w:val="restart"/>
            <w:tcBorders>
              <w:top w:val="single" w:sz="8" w:space="0" w:color="4F81BD" w:themeColor="accent1"/>
              <w:left w:val="single" w:sz="2" w:space="0" w:color="4F81BD" w:themeColor="accent1"/>
              <w:bottom w:val="nil"/>
            </w:tcBorders>
            <w:shd w:val="clear" w:color="auto" w:fill="auto"/>
            <w:textDirection w:val="btLr"/>
          </w:tcPr>
          <w:p w:rsidR="000B65E8" w:rsidRPr="007C1EEC" w:rsidRDefault="000B65E8" w:rsidP="00BE120C">
            <w:pPr>
              <w:ind w:left="113" w:right="113"/>
              <w:jc w:val="center"/>
            </w:pPr>
            <w:r w:rsidRPr="007C1EEC">
              <w:t>Survey Constructs</w:t>
            </w:r>
          </w:p>
        </w:tc>
        <w:tc>
          <w:tcPr>
            <w:tcW w:w="2790" w:type="dxa"/>
            <w:tcBorders>
              <w:top w:val="single" w:sz="8" w:space="0" w:color="4F81BD" w:themeColor="accent1"/>
              <w:bottom w:val="nil"/>
            </w:tcBorders>
            <w:shd w:val="clear" w:color="auto" w:fill="auto"/>
          </w:tcPr>
          <w:p w:rsidR="000B65E8" w:rsidRDefault="000B65E8" w:rsidP="00BE120C">
            <w:pPr>
              <w:cnfStyle w:val="000000100000" w:firstRow="0" w:lastRow="0" w:firstColumn="0" w:lastColumn="0" w:oddVBand="0" w:evenVBand="0" w:oddHBand="1" w:evenHBand="0" w:firstRowFirstColumn="0" w:firstRowLastColumn="0" w:lastRowFirstColumn="0" w:lastRowLastColumn="0"/>
            </w:pPr>
            <w:r>
              <w:t>Physical Safety</w:t>
            </w:r>
          </w:p>
        </w:tc>
        <w:tc>
          <w:tcPr>
            <w:tcW w:w="6030" w:type="dxa"/>
            <w:tcBorders>
              <w:top w:val="single" w:sz="8" w:space="0" w:color="4F81BD" w:themeColor="accent1"/>
              <w:bottom w:val="nil"/>
              <w:right w:val="single" w:sz="8" w:space="0" w:color="4F81BD" w:themeColor="accent1"/>
            </w:tcBorders>
            <w:shd w:val="clear" w:color="auto" w:fill="auto"/>
          </w:tcPr>
          <w:p w:rsidR="000B65E8" w:rsidRDefault="000B65E8" w:rsidP="00BE120C">
            <w:pPr>
              <w:cnfStyle w:val="000000100000" w:firstRow="0" w:lastRow="0" w:firstColumn="0" w:lastColumn="0" w:oddVBand="0" w:evenVBand="0" w:oddHBand="1" w:evenHBand="0" w:firstRowFirstColumn="0" w:firstRowLastColumn="0" w:lastRowFirstColumn="0" w:lastRowLastColumn="0"/>
            </w:pPr>
            <w:r>
              <w:t>T</w:t>
            </w:r>
            <w:r w:rsidRPr="00D51622">
              <w:t xml:space="preserve">he extent to which </w:t>
            </w:r>
            <w:r>
              <w:t>students are safe from physical harm while on school property.</w:t>
            </w:r>
          </w:p>
        </w:tc>
      </w:tr>
      <w:tr w:rsidR="000B65E8" w:rsidTr="00BE120C">
        <w:trPr>
          <w:trHeight w:val="612"/>
          <w:jc w:val="center"/>
        </w:trPr>
        <w:tc>
          <w:tcPr>
            <w:cnfStyle w:val="001000000000" w:firstRow="0" w:lastRow="0" w:firstColumn="1" w:lastColumn="0" w:oddVBand="0" w:evenVBand="0" w:oddHBand="0" w:evenHBand="0" w:firstRowFirstColumn="0" w:firstRowLastColumn="0" w:lastRowFirstColumn="0" w:lastRowLastColumn="0"/>
            <w:tcW w:w="1098" w:type="dxa"/>
            <w:vMerge/>
            <w:tcBorders>
              <w:top w:val="nil"/>
              <w:left w:val="single" w:sz="2" w:space="0" w:color="4F81BD" w:themeColor="accent1"/>
              <w:bottom w:val="single" w:sz="8" w:space="0" w:color="4F81BD" w:themeColor="accent1"/>
              <w:right w:val="nil"/>
            </w:tcBorders>
            <w:shd w:val="clear" w:color="auto" w:fill="auto"/>
          </w:tcPr>
          <w:p w:rsidR="000B65E8" w:rsidRPr="007C1EEC" w:rsidRDefault="000B65E8" w:rsidP="00BE120C">
            <w:pPr>
              <w:jc w:val="center"/>
            </w:pPr>
          </w:p>
        </w:tc>
        <w:tc>
          <w:tcPr>
            <w:tcW w:w="2790" w:type="dxa"/>
            <w:tcBorders>
              <w:top w:val="nil"/>
              <w:left w:val="nil"/>
              <w:bottom w:val="single" w:sz="8" w:space="0" w:color="4F81BD" w:themeColor="accent1"/>
              <w:right w:val="nil"/>
            </w:tcBorders>
            <w:shd w:val="clear" w:color="auto" w:fill="auto"/>
          </w:tcPr>
          <w:p w:rsidR="000B65E8" w:rsidRDefault="000B65E8" w:rsidP="00BE120C">
            <w:pPr>
              <w:cnfStyle w:val="000000000000" w:firstRow="0" w:lastRow="0" w:firstColumn="0" w:lastColumn="0" w:oddVBand="0" w:evenVBand="0" w:oddHBand="0" w:evenHBand="0" w:firstRowFirstColumn="0" w:firstRowLastColumn="0" w:lastRowFirstColumn="0" w:lastRowLastColumn="0"/>
            </w:pPr>
            <w:r>
              <w:t>Emotional Safety</w:t>
            </w:r>
          </w:p>
        </w:tc>
        <w:tc>
          <w:tcPr>
            <w:tcW w:w="6030" w:type="dxa"/>
            <w:tcBorders>
              <w:top w:val="nil"/>
              <w:left w:val="nil"/>
              <w:bottom w:val="single" w:sz="8" w:space="0" w:color="4F81BD" w:themeColor="accent1"/>
              <w:right w:val="single" w:sz="8" w:space="0" w:color="4F81BD" w:themeColor="accent1"/>
            </w:tcBorders>
            <w:shd w:val="clear" w:color="auto" w:fill="auto"/>
          </w:tcPr>
          <w:p w:rsidR="000B65E8" w:rsidRDefault="000B65E8" w:rsidP="00BE120C">
            <w:pPr>
              <w:cnfStyle w:val="000000000000" w:firstRow="0" w:lastRow="0" w:firstColumn="0" w:lastColumn="0" w:oddVBand="0" w:evenVBand="0" w:oddHBand="0" w:evenHBand="0" w:firstRowFirstColumn="0" w:firstRowLastColumn="0" w:lastRowFirstColumn="0" w:lastRowLastColumn="0"/>
            </w:pPr>
            <w:r>
              <w:t>T</w:t>
            </w:r>
            <w:r w:rsidRPr="00D51622">
              <w:t xml:space="preserve">he extent to which </w:t>
            </w:r>
            <w:r>
              <w:t xml:space="preserve">students feel safe from verbal abuse, teasing, and exclusion. </w:t>
            </w:r>
          </w:p>
        </w:tc>
      </w:tr>
      <w:tr w:rsidR="000B65E8" w:rsidTr="00BE120C">
        <w:trPr>
          <w:cnfStyle w:val="000000100000" w:firstRow="0" w:lastRow="0" w:firstColumn="0" w:lastColumn="0" w:oddVBand="0" w:evenVBand="0" w:oddHBand="1" w:evenHBand="0" w:firstRowFirstColumn="0" w:firstRowLastColumn="0" w:lastRowFirstColumn="0" w:lastRowLastColumn="0"/>
          <w:cantSplit/>
          <w:trHeight w:val="972"/>
          <w:jc w:val="center"/>
        </w:trPr>
        <w:tc>
          <w:tcPr>
            <w:cnfStyle w:val="001000000000" w:firstRow="0" w:lastRow="0" w:firstColumn="1" w:lastColumn="0" w:oddVBand="0" w:evenVBand="0" w:oddHBand="0" w:evenHBand="0" w:firstRowFirstColumn="0" w:firstRowLastColumn="0" w:lastRowFirstColumn="0" w:lastRowLastColumn="0"/>
            <w:tcW w:w="1098" w:type="dxa"/>
            <w:tcBorders>
              <w:top w:val="single" w:sz="8" w:space="0" w:color="4F81BD" w:themeColor="accent1"/>
              <w:left w:val="single" w:sz="2" w:space="0" w:color="4F81BD" w:themeColor="accent1"/>
              <w:bottom w:val="single" w:sz="8" w:space="0" w:color="4F81BD" w:themeColor="accent1"/>
            </w:tcBorders>
            <w:shd w:val="clear" w:color="auto" w:fill="auto"/>
            <w:textDirection w:val="btLr"/>
          </w:tcPr>
          <w:p w:rsidR="000B65E8" w:rsidRPr="007C1EEC" w:rsidRDefault="000B65E8" w:rsidP="00BE120C">
            <w:pPr>
              <w:ind w:left="113" w:right="113"/>
              <w:jc w:val="center"/>
            </w:pPr>
            <w:r w:rsidRPr="007C1EEC">
              <w:t>School Incident</w:t>
            </w:r>
          </w:p>
        </w:tc>
        <w:tc>
          <w:tcPr>
            <w:tcW w:w="2790" w:type="dxa"/>
            <w:tcBorders>
              <w:top w:val="single" w:sz="8" w:space="0" w:color="4F81BD" w:themeColor="accent1"/>
              <w:bottom w:val="single" w:sz="8" w:space="0" w:color="4F81BD" w:themeColor="accent1"/>
            </w:tcBorders>
            <w:shd w:val="clear" w:color="auto" w:fill="auto"/>
          </w:tcPr>
          <w:p w:rsidR="000B65E8" w:rsidRDefault="000B65E8" w:rsidP="00BE120C">
            <w:pPr>
              <w:cnfStyle w:val="000000100000" w:firstRow="0" w:lastRow="0" w:firstColumn="0" w:lastColumn="0" w:oddVBand="0" w:evenVBand="0" w:oddHBand="1" w:evenHBand="0" w:firstRowFirstColumn="0" w:firstRowLastColumn="0" w:lastRowFirstColumn="0" w:lastRowLastColumn="0"/>
            </w:pPr>
            <w:r>
              <w:t>Suspensions &amp; Expulsions without Physical Injury</w:t>
            </w:r>
          </w:p>
        </w:tc>
        <w:tc>
          <w:tcPr>
            <w:tcW w:w="6030" w:type="dxa"/>
            <w:tcBorders>
              <w:top w:val="single" w:sz="8" w:space="0" w:color="4F81BD" w:themeColor="accent1"/>
              <w:bottom w:val="single" w:sz="8" w:space="0" w:color="4F81BD" w:themeColor="accent1"/>
              <w:right w:val="single" w:sz="8" w:space="0" w:color="4F81BD" w:themeColor="accent1"/>
            </w:tcBorders>
            <w:shd w:val="clear" w:color="auto" w:fill="auto"/>
          </w:tcPr>
          <w:p w:rsidR="000B65E8" w:rsidRDefault="000B65E8" w:rsidP="00BE120C">
            <w:pPr>
              <w:cnfStyle w:val="000000100000" w:firstRow="0" w:lastRow="0" w:firstColumn="0" w:lastColumn="0" w:oddVBand="0" w:evenVBand="0" w:oddHBand="1" w:evenHBand="0" w:firstRowFirstColumn="0" w:firstRowLastColumn="0" w:lastRowFirstColumn="0" w:lastRowLastColumn="0"/>
            </w:pPr>
            <w:r>
              <w:t>T</w:t>
            </w:r>
            <w:r w:rsidRPr="00CE4DF7">
              <w:t>he percentage of 9-12</w:t>
            </w:r>
            <w:r w:rsidRPr="00CE4DF7">
              <w:rPr>
                <w:vertAlign w:val="superscript"/>
              </w:rPr>
              <w:t>th</w:t>
            </w:r>
            <w:r w:rsidRPr="00CE4DF7">
              <w:t xml:space="preserve"> grade students who received at least one suspension or expulsion for fighting or violent behavior without injury during a given school year</w:t>
            </w:r>
            <w:r>
              <w:t>.</w:t>
            </w:r>
          </w:p>
        </w:tc>
      </w:tr>
      <w:tr w:rsidR="000B65E8" w:rsidTr="00BE120C">
        <w:trPr>
          <w:jc w:val="center"/>
        </w:trPr>
        <w:tc>
          <w:tcPr>
            <w:cnfStyle w:val="001000000000" w:firstRow="0" w:lastRow="0" w:firstColumn="1" w:lastColumn="0" w:oddVBand="0" w:evenVBand="0" w:oddHBand="0" w:evenHBand="0" w:firstRowFirstColumn="0" w:firstRowLastColumn="0" w:lastRowFirstColumn="0" w:lastRowLastColumn="0"/>
            <w:tcW w:w="9918" w:type="dxa"/>
            <w:gridSpan w:val="3"/>
            <w:tcBorders>
              <w:top w:val="single" w:sz="8" w:space="0" w:color="4F81BD" w:themeColor="accent1"/>
              <w:left w:val="single" w:sz="8" w:space="0" w:color="4F81BD" w:themeColor="accent1"/>
              <w:bottom w:val="single" w:sz="2" w:space="0" w:color="4F81BD" w:themeColor="accent1"/>
              <w:right w:val="single" w:sz="8" w:space="0" w:color="4F81BD" w:themeColor="accent1"/>
            </w:tcBorders>
            <w:shd w:val="clear" w:color="auto" w:fill="FFCC66"/>
          </w:tcPr>
          <w:p w:rsidR="000B65E8" w:rsidRPr="00AA783C" w:rsidRDefault="000B65E8" w:rsidP="00BE120C">
            <w:pPr>
              <w:jc w:val="center"/>
              <w:rPr>
                <w:sz w:val="28"/>
                <w:szCs w:val="28"/>
              </w:rPr>
            </w:pPr>
            <w:r w:rsidRPr="00AA783C">
              <w:rPr>
                <w:i/>
                <w:sz w:val="28"/>
                <w:szCs w:val="28"/>
              </w:rPr>
              <w:t>Engagement</w:t>
            </w:r>
            <w:r>
              <w:rPr>
                <w:i/>
                <w:sz w:val="28"/>
                <w:szCs w:val="28"/>
              </w:rPr>
              <w:t xml:space="preserve"> Domain</w:t>
            </w:r>
          </w:p>
        </w:tc>
      </w:tr>
      <w:tr w:rsidR="000B65E8" w:rsidTr="00BE12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vMerge w:val="restart"/>
            <w:tcBorders>
              <w:top w:val="single" w:sz="2" w:space="0" w:color="4F81BD" w:themeColor="accent1"/>
              <w:left w:val="single" w:sz="2" w:space="0" w:color="4F81BD" w:themeColor="accent1"/>
              <w:bottom w:val="nil"/>
            </w:tcBorders>
            <w:shd w:val="clear" w:color="auto" w:fill="auto"/>
            <w:textDirection w:val="btLr"/>
          </w:tcPr>
          <w:p w:rsidR="000B65E8" w:rsidRPr="007C1EEC" w:rsidRDefault="000B65E8" w:rsidP="00BE120C">
            <w:pPr>
              <w:ind w:left="113" w:right="113"/>
              <w:jc w:val="center"/>
            </w:pPr>
            <w:r w:rsidRPr="007C1EEC">
              <w:t>Survey Constructs</w:t>
            </w:r>
          </w:p>
        </w:tc>
        <w:tc>
          <w:tcPr>
            <w:tcW w:w="2790" w:type="dxa"/>
            <w:tcBorders>
              <w:top w:val="single" w:sz="2" w:space="0" w:color="4F81BD" w:themeColor="accent1"/>
              <w:bottom w:val="nil"/>
            </w:tcBorders>
            <w:shd w:val="clear" w:color="auto" w:fill="auto"/>
          </w:tcPr>
          <w:p w:rsidR="000B65E8" w:rsidRDefault="000B65E8" w:rsidP="00BE120C">
            <w:pPr>
              <w:cnfStyle w:val="000000100000" w:firstRow="0" w:lastRow="0" w:firstColumn="0" w:lastColumn="0" w:oddVBand="0" w:evenVBand="0" w:oddHBand="1" w:evenHBand="0" w:firstRowFirstColumn="0" w:firstRowLastColumn="0" w:lastRowFirstColumn="0" w:lastRowLastColumn="0"/>
            </w:pPr>
            <w:r>
              <w:t>Diversity Engagement</w:t>
            </w:r>
          </w:p>
        </w:tc>
        <w:tc>
          <w:tcPr>
            <w:tcW w:w="6030" w:type="dxa"/>
            <w:tcBorders>
              <w:top w:val="single" w:sz="2" w:space="0" w:color="4F81BD" w:themeColor="accent1"/>
              <w:bottom w:val="nil"/>
              <w:right w:val="single" w:sz="2" w:space="0" w:color="4F81BD" w:themeColor="accent1"/>
            </w:tcBorders>
            <w:shd w:val="clear" w:color="auto" w:fill="auto"/>
          </w:tcPr>
          <w:p w:rsidR="000B65E8" w:rsidRDefault="000B65E8" w:rsidP="00BE120C">
            <w:pPr>
              <w:cnfStyle w:val="000000100000" w:firstRow="0" w:lastRow="0" w:firstColumn="0" w:lastColumn="0" w:oddVBand="0" w:evenVBand="0" w:oddHBand="1" w:evenHBand="0" w:firstRowFirstColumn="0" w:firstRowLastColumn="0" w:lastRowFirstColumn="0" w:lastRowLastColumn="0"/>
            </w:pPr>
            <w:r>
              <w:t>T</w:t>
            </w:r>
            <w:r w:rsidRPr="00D51622">
              <w:t xml:space="preserve">he extent to which students and adults demonstrate respect for each other’s differences (i.e. appearance, culture, gender, race, </w:t>
            </w:r>
            <w:r>
              <w:t xml:space="preserve">learning differences, sexual orientation, </w:t>
            </w:r>
            <w:r w:rsidRPr="00D51622">
              <w:t>etc.)</w:t>
            </w:r>
            <w:r>
              <w:t>.</w:t>
            </w:r>
          </w:p>
        </w:tc>
      </w:tr>
      <w:tr w:rsidR="000B65E8" w:rsidTr="00BE120C">
        <w:trPr>
          <w:jc w:val="center"/>
        </w:trPr>
        <w:tc>
          <w:tcPr>
            <w:cnfStyle w:val="001000000000" w:firstRow="0" w:lastRow="0" w:firstColumn="1" w:lastColumn="0" w:oddVBand="0" w:evenVBand="0" w:oddHBand="0" w:evenHBand="0" w:firstRowFirstColumn="0" w:firstRowLastColumn="0" w:lastRowFirstColumn="0" w:lastRowLastColumn="0"/>
            <w:tcW w:w="1098" w:type="dxa"/>
            <w:vMerge/>
            <w:tcBorders>
              <w:top w:val="nil"/>
              <w:left w:val="single" w:sz="2" w:space="0" w:color="4F81BD" w:themeColor="accent1"/>
              <w:bottom w:val="nil"/>
              <w:right w:val="nil"/>
            </w:tcBorders>
            <w:shd w:val="clear" w:color="auto" w:fill="auto"/>
            <w:textDirection w:val="btLr"/>
          </w:tcPr>
          <w:p w:rsidR="000B65E8" w:rsidRPr="007C1EEC" w:rsidRDefault="000B65E8" w:rsidP="00BE120C">
            <w:pPr>
              <w:ind w:left="113" w:right="113"/>
              <w:jc w:val="center"/>
            </w:pPr>
          </w:p>
        </w:tc>
        <w:tc>
          <w:tcPr>
            <w:tcW w:w="2790" w:type="dxa"/>
            <w:tcBorders>
              <w:top w:val="nil"/>
              <w:left w:val="nil"/>
              <w:bottom w:val="nil"/>
              <w:right w:val="nil"/>
            </w:tcBorders>
            <w:shd w:val="clear" w:color="auto" w:fill="auto"/>
          </w:tcPr>
          <w:p w:rsidR="000B65E8" w:rsidRDefault="000B65E8" w:rsidP="00BE120C">
            <w:pPr>
              <w:cnfStyle w:val="000000000000" w:firstRow="0" w:lastRow="0" w:firstColumn="0" w:lastColumn="0" w:oddVBand="0" w:evenVBand="0" w:oddHBand="0" w:evenHBand="0" w:firstRowFirstColumn="0" w:firstRowLastColumn="0" w:lastRowFirstColumn="0" w:lastRowLastColumn="0"/>
            </w:pPr>
            <w:r>
              <w:t>Adult-Student Engagement</w:t>
            </w:r>
          </w:p>
        </w:tc>
        <w:tc>
          <w:tcPr>
            <w:tcW w:w="6030" w:type="dxa"/>
            <w:tcBorders>
              <w:top w:val="nil"/>
              <w:left w:val="nil"/>
              <w:bottom w:val="nil"/>
              <w:right w:val="single" w:sz="2" w:space="0" w:color="4F81BD" w:themeColor="accent1"/>
            </w:tcBorders>
            <w:shd w:val="clear" w:color="auto" w:fill="auto"/>
          </w:tcPr>
          <w:p w:rsidR="000B65E8" w:rsidRDefault="000B65E8" w:rsidP="00BE120C">
            <w:pPr>
              <w:cnfStyle w:val="000000000000" w:firstRow="0" w:lastRow="0" w:firstColumn="0" w:lastColumn="0" w:oddVBand="0" w:evenVBand="0" w:oddHBand="0" w:evenHBand="0" w:firstRowFirstColumn="0" w:firstRowLastColumn="0" w:lastRowFirstColumn="0" w:lastRowLastColumn="0"/>
            </w:pPr>
            <w:r>
              <w:t>T</w:t>
            </w:r>
            <w:r w:rsidRPr="00D51622">
              <w:t>he extent to which adults demonstrate care for students, respect for students, and acknowledgement of students’ work</w:t>
            </w:r>
          </w:p>
        </w:tc>
      </w:tr>
      <w:tr w:rsidR="000B65E8" w:rsidTr="00BE12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vMerge/>
            <w:tcBorders>
              <w:top w:val="nil"/>
              <w:left w:val="single" w:sz="2" w:space="0" w:color="4F81BD" w:themeColor="accent1"/>
              <w:bottom w:val="single" w:sz="2" w:space="0" w:color="4F81BD" w:themeColor="accent1"/>
            </w:tcBorders>
            <w:shd w:val="clear" w:color="auto" w:fill="auto"/>
            <w:textDirection w:val="btLr"/>
          </w:tcPr>
          <w:p w:rsidR="000B65E8" w:rsidRPr="007C1EEC" w:rsidRDefault="000B65E8" w:rsidP="00BE120C">
            <w:pPr>
              <w:ind w:left="113" w:right="113"/>
              <w:jc w:val="center"/>
            </w:pPr>
          </w:p>
        </w:tc>
        <w:tc>
          <w:tcPr>
            <w:tcW w:w="2790" w:type="dxa"/>
            <w:tcBorders>
              <w:top w:val="nil"/>
              <w:bottom w:val="single" w:sz="2" w:space="0" w:color="4F81BD" w:themeColor="accent1"/>
            </w:tcBorders>
            <w:shd w:val="clear" w:color="auto" w:fill="auto"/>
          </w:tcPr>
          <w:p w:rsidR="000B65E8" w:rsidRDefault="000B65E8" w:rsidP="00BE120C">
            <w:pPr>
              <w:cnfStyle w:val="000000100000" w:firstRow="0" w:lastRow="0" w:firstColumn="0" w:lastColumn="0" w:oddVBand="0" w:evenVBand="0" w:oddHBand="1" w:evenHBand="0" w:firstRowFirstColumn="0" w:firstRowLastColumn="0" w:lastRowFirstColumn="0" w:lastRowLastColumn="0"/>
            </w:pPr>
            <w:r>
              <w:t>Student-Student Engagement</w:t>
            </w:r>
          </w:p>
        </w:tc>
        <w:tc>
          <w:tcPr>
            <w:tcW w:w="6030" w:type="dxa"/>
            <w:tcBorders>
              <w:top w:val="nil"/>
              <w:bottom w:val="single" w:sz="2" w:space="0" w:color="4F81BD" w:themeColor="accent1"/>
              <w:right w:val="single" w:sz="2" w:space="0" w:color="4F81BD" w:themeColor="accent1"/>
            </w:tcBorders>
            <w:shd w:val="clear" w:color="auto" w:fill="auto"/>
          </w:tcPr>
          <w:p w:rsidR="000B65E8" w:rsidRDefault="000B65E8" w:rsidP="00BE120C">
            <w:pPr>
              <w:cnfStyle w:val="000000100000" w:firstRow="0" w:lastRow="0" w:firstColumn="0" w:lastColumn="0" w:oddVBand="0" w:evenVBand="0" w:oddHBand="1" w:evenHBand="0" w:firstRowFirstColumn="0" w:firstRowLastColumn="0" w:lastRowFirstColumn="0" w:lastRowLastColumn="0"/>
            </w:pPr>
            <w:r>
              <w:t>T</w:t>
            </w:r>
            <w:r w:rsidRPr="00D51622">
              <w:t>he extent to which students demonstrate care for, respect for, and collaboration with one another</w:t>
            </w:r>
            <w:r>
              <w:t>.</w:t>
            </w:r>
          </w:p>
        </w:tc>
      </w:tr>
      <w:tr w:rsidR="000B65E8" w:rsidTr="00BE120C">
        <w:trPr>
          <w:jc w:val="center"/>
        </w:trPr>
        <w:tc>
          <w:tcPr>
            <w:cnfStyle w:val="001000000000" w:firstRow="0" w:lastRow="0" w:firstColumn="1" w:lastColumn="0" w:oddVBand="0" w:evenVBand="0" w:oddHBand="0" w:evenHBand="0" w:firstRowFirstColumn="0" w:firstRowLastColumn="0" w:lastRowFirstColumn="0" w:lastRowLastColumn="0"/>
            <w:tcW w:w="1098" w:type="dxa"/>
            <w:vMerge w:val="restart"/>
            <w:tcBorders>
              <w:top w:val="single" w:sz="2" w:space="0" w:color="4F81BD" w:themeColor="accent1"/>
              <w:left w:val="single" w:sz="2" w:space="0" w:color="4F81BD" w:themeColor="accent1"/>
              <w:bottom w:val="nil"/>
              <w:right w:val="nil"/>
            </w:tcBorders>
            <w:textDirection w:val="btLr"/>
          </w:tcPr>
          <w:p w:rsidR="000B65E8" w:rsidRPr="007C1EEC" w:rsidRDefault="000B65E8" w:rsidP="00BE120C">
            <w:pPr>
              <w:ind w:left="113" w:right="113"/>
              <w:jc w:val="center"/>
            </w:pPr>
            <w:r w:rsidRPr="007C1EEC">
              <w:t>School Incident</w:t>
            </w:r>
          </w:p>
        </w:tc>
        <w:tc>
          <w:tcPr>
            <w:tcW w:w="2790" w:type="dxa"/>
            <w:tcBorders>
              <w:top w:val="single" w:sz="2" w:space="0" w:color="4F81BD" w:themeColor="accent1"/>
              <w:left w:val="nil"/>
              <w:bottom w:val="nil"/>
              <w:right w:val="nil"/>
            </w:tcBorders>
            <w:shd w:val="clear" w:color="auto" w:fill="auto"/>
          </w:tcPr>
          <w:p w:rsidR="000B65E8" w:rsidRDefault="000B65E8" w:rsidP="00BE120C">
            <w:pPr>
              <w:cnfStyle w:val="000000000000" w:firstRow="0" w:lastRow="0" w:firstColumn="0" w:lastColumn="0" w:oddVBand="0" w:evenVBand="0" w:oddHBand="0" w:evenHBand="0" w:firstRowFirstColumn="0" w:firstRowLastColumn="0" w:lastRowFirstColumn="0" w:lastRowLastColumn="0"/>
            </w:pPr>
            <w:r>
              <w:t>Graduation Rate</w:t>
            </w:r>
          </w:p>
        </w:tc>
        <w:tc>
          <w:tcPr>
            <w:tcW w:w="6030" w:type="dxa"/>
            <w:tcBorders>
              <w:top w:val="single" w:sz="2" w:space="0" w:color="4F81BD" w:themeColor="accent1"/>
              <w:left w:val="nil"/>
              <w:bottom w:val="nil"/>
              <w:right w:val="single" w:sz="2" w:space="0" w:color="4F81BD" w:themeColor="accent1"/>
            </w:tcBorders>
            <w:shd w:val="clear" w:color="auto" w:fill="auto"/>
          </w:tcPr>
          <w:p w:rsidR="000B65E8" w:rsidRDefault="000B65E8" w:rsidP="00BE120C">
            <w:pPr>
              <w:cnfStyle w:val="000000000000" w:firstRow="0" w:lastRow="0" w:firstColumn="0" w:lastColumn="0" w:oddVBand="0" w:evenVBand="0" w:oddHBand="0" w:evenHBand="0" w:firstRowFirstColumn="0" w:firstRowLastColumn="0" w:lastRowFirstColumn="0" w:lastRowLastColumn="0"/>
            </w:pPr>
            <w:r>
              <w:t>T</w:t>
            </w:r>
            <w:r w:rsidRPr="00CE4DF7">
              <w:t>he percentage of 12</w:t>
            </w:r>
            <w:r w:rsidRPr="00CE4DF7">
              <w:rPr>
                <w:vertAlign w:val="superscript"/>
              </w:rPr>
              <w:t>th</w:t>
            </w:r>
            <w:r w:rsidRPr="00CE4DF7">
              <w:t xml:space="preserve"> grade students who graduate during a given school year.</w:t>
            </w:r>
          </w:p>
        </w:tc>
      </w:tr>
      <w:tr w:rsidR="000B65E8" w:rsidTr="00BE12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vMerge/>
            <w:tcBorders>
              <w:top w:val="nil"/>
              <w:left w:val="single" w:sz="2" w:space="0" w:color="4F81BD" w:themeColor="accent1"/>
              <w:bottom w:val="nil"/>
            </w:tcBorders>
          </w:tcPr>
          <w:p w:rsidR="000B65E8" w:rsidRDefault="000B65E8" w:rsidP="00BE120C"/>
        </w:tc>
        <w:tc>
          <w:tcPr>
            <w:tcW w:w="2790" w:type="dxa"/>
            <w:tcBorders>
              <w:top w:val="nil"/>
              <w:bottom w:val="nil"/>
            </w:tcBorders>
            <w:shd w:val="clear" w:color="auto" w:fill="auto"/>
          </w:tcPr>
          <w:p w:rsidR="000B65E8" w:rsidRDefault="000B65E8" w:rsidP="00BE120C">
            <w:pPr>
              <w:cnfStyle w:val="000000100000" w:firstRow="0" w:lastRow="0" w:firstColumn="0" w:lastColumn="0" w:oddVBand="0" w:evenVBand="0" w:oddHBand="1" w:evenHBand="0" w:firstRowFirstColumn="0" w:firstRowLastColumn="0" w:lastRowFirstColumn="0" w:lastRowLastColumn="0"/>
            </w:pPr>
            <w:r>
              <w:t>Dropout Rate</w:t>
            </w:r>
          </w:p>
        </w:tc>
        <w:tc>
          <w:tcPr>
            <w:tcW w:w="6030" w:type="dxa"/>
            <w:tcBorders>
              <w:top w:val="nil"/>
              <w:bottom w:val="nil"/>
              <w:right w:val="single" w:sz="2" w:space="0" w:color="4F81BD" w:themeColor="accent1"/>
            </w:tcBorders>
            <w:shd w:val="clear" w:color="auto" w:fill="auto"/>
          </w:tcPr>
          <w:p w:rsidR="000B65E8" w:rsidRDefault="000B65E8" w:rsidP="00BE120C">
            <w:pPr>
              <w:cnfStyle w:val="000000100000" w:firstRow="0" w:lastRow="0" w:firstColumn="0" w:lastColumn="0" w:oddVBand="0" w:evenVBand="0" w:oddHBand="1" w:evenHBand="0" w:firstRowFirstColumn="0" w:firstRowLastColumn="0" w:lastRowFirstColumn="0" w:lastRowLastColumn="0"/>
            </w:pPr>
            <w:r>
              <w:t>T</w:t>
            </w:r>
            <w:r w:rsidRPr="00CE4DF7">
              <w:t>he percentage of 9-12</w:t>
            </w:r>
            <w:r w:rsidRPr="00CE4DF7">
              <w:rPr>
                <w:vertAlign w:val="superscript"/>
              </w:rPr>
              <w:t>th</w:t>
            </w:r>
            <w:r w:rsidRPr="00CE4DF7">
              <w:t xml:space="preserve"> grade students who drop</w:t>
            </w:r>
            <w:r>
              <w:t xml:space="preserve"> </w:t>
            </w:r>
            <w:r w:rsidRPr="00CE4DF7">
              <w:t>out of school during a given school year.</w:t>
            </w:r>
          </w:p>
        </w:tc>
      </w:tr>
      <w:tr w:rsidR="000B65E8" w:rsidTr="00BE120C">
        <w:trPr>
          <w:jc w:val="center"/>
        </w:trPr>
        <w:tc>
          <w:tcPr>
            <w:cnfStyle w:val="001000000000" w:firstRow="0" w:lastRow="0" w:firstColumn="1" w:lastColumn="0" w:oddVBand="0" w:evenVBand="0" w:oddHBand="0" w:evenHBand="0" w:firstRowFirstColumn="0" w:firstRowLastColumn="0" w:lastRowFirstColumn="0" w:lastRowLastColumn="0"/>
            <w:tcW w:w="1098" w:type="dxa"/>
            <w:vMerge/>
            <w:tcBorders>
              <w:top w:val="nil"/>
              <w:left w:val="single" w:sz="2" w:space="0" w:color="4F81BD" w:themeColor="accent1"/>
              <w:bottom w:val="single" w:sz="2" w:space="0" w:color="4F81BD" w:themeColor="accent1"/>
              <w:right w:val="nil"/>
            </w:tcBorders>
          </w:tcPr>
          <w:p w:rsidR="000B65E8" w:rsidRDefault="000B65E8" w:rsidP="00BE120C"/>
        </w:tc>
        <w:tc>
          <w:tcPr>
            <w:tcW w:w="2790" w:type="dxa"/>
            <w:tcBorders>
              <w:top w:val="nil"/>
              <w:left w:val="nil"/>
              <w:bottom w:val="single" w:sz="2" w:space="0" w:color="4F81BD" w:themeColor="accent1"/>
              <w:right w:val="nil"/>
            </w:tcBorders>
            <w:shd w:val="clear" w:color="auto" w:fill="auto"/>
          </w:tcPr>
          <w:p w:rsidR="000B65E8" w:rsidRDefault="000B65E8" w:rsidP="00BE120C">
            <w:pPr>
              <w:cnfStyle w:val="000000000000" w:firstRow="0" w:lastRow="0" w:firstColumn="0" w:lastColumn="0" w:oddVBand="0" w:evenVBand="0" w:oddHBand="0" w:evenHBand="0" w:firstRowFirstColumn="0" w:firstRowLastColumn="0" w:lastRowFirstColumn="0" w:lastRowLastColumn="0"/>
            </w:pPr>
            <w:r>
              <w:t>Attendance Rate—</w:t>
            </w:r>
          </w:p>
          <w:p w:rsidR="000B65E8" w:rsidRDefault="000B65E8" w:rsidP="00BE120C">
            <w:pPr>
              <w:cnfStyle w:val="000000000000" w:firstRow="0" w:lastRow="0" w:firstColumn="0" w:lastColumn="0" w:oddVBand="0" w:evenVBand="0" w:oddHBand="0" w:evenHBand="0" w:firstRowFirstColumn="0" w:firstRowLastColumn="0" w:lastRowFirstColumn="0" w:lastRowLastColumn="0"/>
            </w:pPr>
            <w:r>
              <w:t>Grades 9 to 12</w:t>
            </w:r>
          </w:p>
        </w:tc>
        <w:tc>
          <w:tcPr>
            <w:tcW w:w="6030" w:type="dxa"/>
            <w:tcBorders>
              <w:top w:val="nil"/>
              <w:left w:val="nil"/>
              <w:bottom w:val="single" w:sz="2" w:space="0" w:color="4F81BD" w:themeColor="accent1"/>
              <w:right w:val="single" w:sz="2" w:space="0" w:color="4F81BD" w:themeColor="accent1"/>
            </w:tcBorders>
            <w:shd w:val="clear" w:color="auto" w:fill="auto"/>
          </w:tcPr>
          <w:p w:rsidR="000B65E8" w:rsidRDefault="000B65E8" w:rsidP="00BE120C">
            <w:pPr>
              <w:cnfStyle w:val="000000000000" w:firstRow="0" w:lastRow="0" w:firstColumn="0" w:lastColumn="0" w:oddVBand="0" w:evenVBand="0" w:oddHBand="0" w:evenHBand="0" w:firstRowFirstColumn="0" w:firstRowLastColumn="0" w:lastRowFirstColumn="0" w:lastRowLastColumn="0"/>
            </w:pPr>
            <w:r>
              <w:t>T</w:t>
            </w:r>
            <w:r w:rsidRPr="00CE4DF7">
              <w:t xml:space="preserve">he </w:t>
            </w:r>
            <w:proofErr w:type="gramStart"/>
            <w:r w:rsidRPr="00CE4DF7">
              <w:t>percentage of school days that 9-12</w:t>
            </w:r>
            <w:r w:rsidRPr="00CE4DF7">
              <w:rPr>
                <w:vertAlign w:val="superscript"/>
              </w:rPr>
              <w:t>th</w:t>
            </w:r>
            <w:r w:rsidRPr="00CE4DF7">
              <w:t xml:space="preserve"> grade students are</w:t>
            </w:r>
            <w:proofErr w:type="gramEnd"/>
            <w:r w:rsidRPr="00CE4DF7">
              <w:t xml:space="preserve"> present at school during a given school year.  </w:t>
            </w:r>
          </w:p>
        </w:tc>
      </w:tr>
      <w:tr w:rsidR="000B65E8" w:rsidTr="00BE12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8" w:type="dxa"/>
            <w:gridSpan w:val="3"/>
            <w:tcBorders>
              <w:top w:val="single" w:sz="2" w:space="0" w:color="4F81BD" w:themeColor="accent1"/>
              <w:left w:val="single" w:sz="8" w:space="0" w:color="4F81BD" w:themeColor="accent1"/>
              <w:bottom w:val="single" w:sz="8" w:space="0" w:color="4F81BD" w:themeColor="accent1"/>
              <w:right w:val="single" w:sz="8" w:space="0" w:color="4F81BD" w:themeColor="accent1"/>
            </w:tcBorders>
            <w:shd w:val="clear" w:color="auto" w:fill="FFCC66"/>
          </w:tcPr>
          <w:p w:rsidR="000B65E8" w:rsidRPr="00AA783C" w:rsidRDefault="000B65E8" w:rsidP="00BE120C">
            <w:pPr>
              <w:jc w:val="center"/>
              <w:rPr>
                <w:sz w:val="28"/>
                <w:szCs w:val="28"/>
              </w:rPr>
            </w:pPr>
            <w:r w:rsidRPr="00AA783C">
              <w:rPr>
                <w:i/>
                <w:sz w:val="28"/>
                <w:szCs w:val="28"/>
              </w:rPr>
              <w:t>Environment</w:t>
            </w:r>
            <w:r>
              <w:rPr>
                <w:i/>
                <w:sz w:val="28"/>
                <w:szCs w:val="28"/>
              </w:rPr>
              <w:t xml:space="preserve"> Domain</w:t>
            </w:r>
          </w:p>
        </w:tc>
      </w:tr>
      <w:tr w:rsidR="000B65E8" w:rsidTr="00BE120C">
        <w:trPr>
          <w:trHeight w:val="610"/>
          <w:jc w:val="center"/>
        </w:trPr>
        <w:tc>
          <w:tcPr>
            <w:cnfStyle w:val="001000000000" w:firstRow="0" w:lastRow="0" w:firstColumn="1" w:lastColumn="0" w:oddVBand="0" w:evenVBand="0" w:oddHBand="0" w:evenHBand="0" w:firstRowFirstColumn="0" w:firstRowLastColumn="0" w:lastRowFirstColumn="0" w:lastRowLastColumn="0"/>
            <w:tcW w:w="1098" w:type="dxa"/>
            <w:vMerge w:val="restart"/>
            <w:tcBorders>
              <w:top w:val="single" w:sz="8" w:space="0" w:color="4F81BD" w:themeColor="accent1"/>
              <w:left w:val="single" w:sz="2" w:space="0" w:color="4F81BD" w:themeColor="accent1"/>
              <w:bottom w:val="nil"/>
              <w:right w:val="nil"/>
            </w:tcBorders>
            <w:textDirection w:val="btLr"/>
          </w:tcPr>
          <w:p w:rsidR="000B65E8" w:rsidRPr="007C1EEC" w:rsidRDefault="000B65E8" w:rsidP="00BE120C">
            <w:pPr>
              <w:ind w:left="113" w:right="113"/>
              <w:jc w:val="center"/>
            </w:pPr>
            <w:r w:rsidRPr="007C1EEC">
              <w:t>Survey Constructs</w:t>
            </w:r>
          </w:p>
        </w:tc>
        <w:tc>
          <w:tcPr>
            <w:tcW w:w="2790" w:type="dxa"/>
            <w:tcBorders>
              <w:top w:val="single" w:sz="8" w:space="0" w:color="4F81BD" w:themeColor="accent1"/>
              <w:left w:val="nil"/>
              <w:bottom w:val="nil"/>
              <w:right w:val="nil"/>
            </w:tcBorders>
            <w:shd w:val="clear" w:color="auto" w:fill="auto"/>
          </w:tcPr>
          <w:p w:rsidR="000B65E8" w:rsidRDefault="000B65E8" w:rsidP="00BE120C">
            <w:pPr>
              <w:cnfStyle w:val="000000000000" w:firstRow="0" w:lastRow="0" w:firstColumn="0" w:lastColumn="0" w:oddVBand="0" w:evenVBand="0" w:oddHBand="0" w:evenHBand="0" w:firstRowFirstColumn="0" w:firstRowLastColumn="0" w:lastRowFirstColumn="0" w:lastRowLastColumn="0"/>
            </w:pPr>
            <w:r>
              <w:t>Expectations/Boundaries Environment</w:t>
            </w:r>
          </w:p>
        </w:tc>
        <w:tc>
          <w:tcPr>
            <w:tcW w:w="6030" w:type="dxa"/>
            <w:tcBorders>
              <w:top w:val="single" w:sz="8" w:space="0" w:color="4F81BD" w:themeColor="accent1"/>
              <w:left w:val="nil"/>
              <w:bottom w:val="nil"/>
              <w:right w:val="single" w:sz="8" w:space="0" w:color="4F81BD" w:themeColor="accent1"/>
            </w:tcBorders>
            <w:shd w:val="clear" w:color="auto" w:fill="auto"/>
          </w:tcPr>
          <w:p w:rsidR="000B65E8" w:rsidRDefault="000B65E8" w:rsidP="00BE120C">
            <w:pPr>
              <w:cnfStyle w:val="000000000000" w:firstRow="0" w:lastRow="0" w:firstColumn="0" w:lastColumn="0" w:oddVBand="0" w:evenVBand="0" w:oddHBand="0" w:evenHBand="0" w:firstRowFirstColumn="0" w:firstRowLastColumn="0" w:lastRowFirstColumn="0" w:lastRowLastColumn="0"/>
            </w:pPr>
            <w:r>
              <w:t>T</w:t>
            </w:r>
            <w:r w:rsidRPr="00D51622">
              <w:t>he extent to which clear rules are delineated and enforced</w:t>
            </w:r>
            <w:r>
              <w:t>.</w:t>
            </w:r>
          </w:p>
        </w:tc>
      </w:tr>
      <w:tr w:rsidR="000B65E8" w:rsidTr="00BE120C">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1098" w:type="dxa"/>
            <w:vMerge/>
            <w:tcBorders>
              <w:top w:val="nil"/>
              <w:left w:val="single" w:sz="2" w:space="0" w:color="4F81BD" w:themeColor="accent1"/>
              <w:bottom w:val="single" w:sz="8" w:space="0" w:color="4F81BD" w:themeColor="accent1"/>
            </w:tcBorders>
            <w:textDirection w:val="btLr"/>
          </w:tcPr>
          <w:p w:rsidR="000B65E8" w:rsidRPr="007C1EEC" w:rsidRDefault="000B65E8" w:rsidP="00BE120C">
            <w:pPr>
              <w:ind w:left="113" w:right="113"/>
              <w:jc w:val="center"/>
            </w:pPr>
          </w:p>
        </w:tc>
        <w:tc>
          <w:tcPr>
            <w:tcW w:w="2790" w:type="dxa"/>
            <w:tcBorders>
              <w:top w:val="nil"/>
              <w:bottom w:val="single" w:sz="8" w:space="0" w:color="4F81BD" w:themeColor="accent1"/>
            </w:tcBorders>
            <w:shd w:val="clear" w:color="auto" w:fill="auto"/>
          </w:tcPr>
          <w:p w:rsidR="000B65E8" w:rsidRDefault="000B65E8" w:rsidP="00BE120C">
            <w:pPr>
              <w:cnfStyle w:val="000000100000" w:firstRow="0" w:lastRow="0" w:firstColumn="0" w:lastColumn="0" w:oddVBand="0" w:evenVBand="0" w:oddHBand="1" w:evenHBand="0" w:firstRowFirstColumn="0" w:firstRowLastColumn="0" w:lastRowFirstColumn="0" w:lastRowLastColumn="0"/>
            </w:pPr>
            <w:r>
              <w:t>Physical Environment</w:t>
            </w:r>
          </w:p>
        </w:tc>
        <w:tc>
          <w:tcPr>
            <w:tcW w:w="6030" w:type="dxa"/>
            <w:tcBorders>
              <w:top w:val="nil"/>
              <w:bottom w:val="single" w:sz="8" w:space="0" w:color="4F81BD" w:themeColor="accent1"/>
              <w:right w:val="single" w:sz="8" w:space="0" w:color="4F81BD" w:themeColor="accent1"/>
            </w:tcBorders>
            <w:shd w:val="clear" w:color="auto" w:fill="auto"/>
          </w:tcPr>
          <w:p w:rsidR="000B65E8" w:rsidRDefault="000B65E8" w:rsidP="00BE120C">
            <w:pPr>
              <w:cnfStyle w:val="000000100000" w:firstRow="0" w:lastRow="0" w:firstColumn="0" w:lastColumn="0" w:oddVBand="0" w:evenVBand="0" w:oddHBand="1" w:evenHBand="0" w:firstRowFirstColumn="0" w:firstRowLastColumn="0" w:lastRowFirstColumn="0" w:lastRowLastColumn="0"/>
            </w:pPr>
            <w:r>
              <w:t>T</w:t>
            </w:r>
            <w:r w:rsidRPr="00D51622">
              <w:t>he extent to which the school facilities are adequate, clean, and up to date</w:t>
            </w:r>
            <w:r>
              <w:t>.</w:t>
            </w:r>
          </w:p>
        </w:tc>
      </w:tr>
      <w:tr w:rsidR="000B65E8" w:rsidTr="00BE120C">
        <w:trPr>
          <w:cantSplit/>
          <w:trHeight w:val="990"/>
          <w:jc w:val="center"/>
        </w:trPr>
        <w:tc>
          <w:tcPr>
            <w:cnfStyle w:val="001000000000" w:firstRow="0" w:lastRow="0" w:firstColumn="1" w:lastColumn="0" w:oddVBand="0" w:evenVBand="0" w:oddHBand="0" w:evenHBand="0" w:firstRowFirstColumn="0" w:firstRowLastColumn="0" w:lastRowFirstColumn="0" w:lastRowLastColumn="0"/>
            <w:tcW w:w="1098" w:type="dxa"/>
            <w:tcBorders>
              <w:top w:val="single" w:sz="8" w:space="0" w:color="4F81BD" w:themeColor="accent1"/>
              <w:left w:val="single" w:sz="2" w:space="0" w:color="4F81BD" w:themeColor="accent1"/>
              <w:bottom w:val="single" w:sz="8" w:space="0" w:color="4F81BD" w:themeColor="accent1"/>
              <w:right w:val="nil"/>
            </w:tcBorders>
            <w:textDirection w:val="btLr"/>
          </w:tcPr>
          <w:p w:rsidR="000B65E8" w:rsidRPr="007C1EEC" w:rsidRDefault="000B65E8" w:rsidP="00BE120C">
            <w:pPr>
              <w:ind w:left="113" w:right="113"/>
              <w:jc w:val="center"/>
            </w:pPr>
            <w:r w:rsidRPr="007C1EEC">
              <w:t>School Incident</w:t>
            </w:r>
          </w:p>
        </w:tc>
        <w:tc>
          <w:tcPr>
            <w:tcW w:w="2790" w:type="dxa"/>
            <w:tcBorders>
              <w:top w:val="single" w:sz="8" w:space="0" w:color="4F81BD" w:themeColor="accent1"/>
              <w:left w:val="nil"/>
              <w:bottom w:val="single" w:sz="8" w:space="0" w:color="4F81BD" w:themeColor="accent1"/>
              <w:right w:val="nil"/>
            </w:tcBorders>
            <w:shd w:val="clear" w:color="auto" w:fill="auto"/>
          </w:tcPr>
          <w:p w:rsidR="000B65E8" w:rsidRPr="000E1896" w:rsidRDefault="000B65E8" w:rsidP="00BE120C">
            <w:pPr>
              <w:cnfStyle w:val="000000000000" w:firstRow="0" w:lastRow="0" w:firstColumn="0" w:lastColumn="0" w:oddVBand="0" w:evenVBand="0" w:oddHBand="0" w:evenHBand="0" w:firstRowFirstColumn="0" w:firstRowLastColumn="0" w:lastRowFirstColumn="0" w:lastRowLastColumn="0"/>
            </w:pPr>
            <w:r w:rsidRPr="000E1896">
              <w:t>Suspensions &amp; Expulsions</w:t>
            </w:r>
          </w:p>
        </w:tc>
        <w:tc>
          <w:tcPr>
            <w:tcW w:w="6030" w:type="dxa"/>
            <w:tcBorders>
              <w:top w:val="single" w:sz="8" w:space="0" w:color="4F81BD" w:themeColor="accent1"/>
              <w:left w:val="nil"/>
              <w:bottom w:val="single" w:sz="8" w:space="0" w:color="4F81BD" w:themeColor="accent1"/>
              <w:right w:val="single" w:sz="8" w:space="0" w:color="4F81BD" w:themeColor="accent1"/>
            </w:tcBorders>
            <w:shd w:val="clear" w:color="auto" w:fill="auto"/>
          </w:tcPr>
          <w:p w:rsidR="000B65E8" w:rsidRDefault="000B65E8" w:rsidP="00BE120C">
            <w:pPr>
              <w:cnfStyle w:val="000000000000" w:firstRow="0" w:lastRow="0" w:firstColumn="0" w:lastColumn="0" w:oddVBand="0" w:evenVBand="0" w:oddHBand="0" w:evenHBand="0" w:firstRowFirstColumn="0" w:firstRowLastColumn="0" w:lastRowFirstColumn="0" w:lastRowLastColumn="0"/>
            </w:pPr>
            <w:r w:rsidRPr="00073886">
              <w:t>The percentage of 9-12</w:t>
            </w:r>
            <w:r w:rsidRPr="00073886">
              <w:rPr>
                <w:vertAlign w:val="superscript"/>
              </w:rPr>
              <w:t>th</w:t>
            </w:r>
            <w:r w:rsidRPr="00073886">
              <w:t xml:space="preserve"> grade students who received at least one suspension or expulsion during a given school year</w:t>
            </w:r>
            <w:r w:rsidRPr="00CE4DF7">
              <w:t xml:space="preserve">.  </w:t>
            </w:r>
          </w:p>
        </w:tc>
      </w:tr>
    </w:tbl>
    <w:p w:rsidR="005272C0" w:rsidRDefault="005272C0" w:rsidP="000B65E8">
      <w:pPr>
        <w:pStyle w:val="Default"/>
      </w:pPr>
    </w:p>
    <w:sectPr w:rsidR="005272C0" w:rsidSect="002C5F1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5E8" w:rsidRDefault="000B65E8" w:rsidP="000B65E8">
      <w:pPr>
        <w:spacing w:after="0" w:line="240" w:lineRule="auto"/>
      </w:pPr>
      <w:r>
        <w:separator/>
      </w:r>
    </w:p>
  </w:endnote>
  <w:endnote w:type="continuationSeparator" w:id="0">
    <w:p w:rsidR="000B65E8" w:rsidRDefault="000B65E8" w:rsidP="000B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5E8" w:rsidRDefault="000B65E8" w:rsidP="000B65E8">
      <w:pPr>
        <w:spacing w:after="0" w:line="240" w:lineRule="auto"/>
      </w:pPr>
      <w:r>
        <w:separator/>
      </w:r>
    </w:p>
  </w:footnote>
  <w:footnote w:type="continuationSeparator" w:id="0">
    <w:p w:rsidR="000B65E8" w:rsidRDefault="000B65E8" w:rsidP="000B65E8">
      <w:pPr>
        <w:spacing w:after="0" w:line="240" w:lineRule="auto"/>
      </w:pPr>
      <w:r>
        <w:continuationSeparator/>
      </w:r>
    </w:p>
  </w:footnote>
  <w:footnote w:id="1">
    <w:p w:rsidR="000B65E8" w:rsidRDefault="000B65E8" w:rsidP="000B65E8"/>
    <w:p w:rsidR="000B65E8" w:rsidRDefault="000B65E8" w:rsidP="000B65E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E8" w:rsidRDefault="000B65E8" w:rsidP="000B65E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1E" w:rsidRDefault="002C5F1E" w:rsidP="002C5F1E">
    <w:pPr>
      <w:pStyle w:val="Header"/>
      <w:jc w:val="center"/>
    </w:pPr>
    <w:r w:rsidRPr="002C5F1E">
      <w:rPr>
        <w:noProof/>
      </w:rPr>
      <w:drawing>
        <wp:inline distT="0" distB="0" distL="0" distR="0">
          <wp:extent cx="4693627" cy="1340375"/>
          <wp:effectExtent l="19050" t="0" r="0" b="0"/>
          <wp:docPr id="2" name="Picture 6" descr="S3----Iowa-Custom-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Iowa-Custom-Logo_v2.jpg"/>
                  <pic:cNvPicPr/>
                </pic:nvPicPr>
                <pic:blipFill>
                  <a:blip r:embed="rId1" cstate="print"/>
                  <a:stretch>
                    <a:fillRect/>
                  </a:stretch>
                </pic:blipFill>
                <pic:spPr>
                  <a:xfrm>
                    <a:off x="0" y="0"/>
                    <a:ext cx="4696924" cy="13413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46D"/>
    <w:multiLevelType w:val="hybridMultilevel"/>
    <w:tmpl w:val="8922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27A2A"/>
    <w:multiLevelType w:val="hybridMultilevel"/>
    <w:tmpl w:val="D1DC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E8"/>
    <w:rsid w:val="000B65E8"/>
    <w:rsid w:val="002C5F1E"/>
    <w:rsid w:val="005272C0"/>
    <w:rsid w:val="005939A1"/>
    <w:rsid w:val="005F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C0"/>
  </w:style>
  <w:style w:type="paragraph" w:styleId="Heading1">
    <w:name w:val="heading 1"/>
    <w:basedOn w:val="Normal"/>
    <w:next w:val="Normal"/>
    <w:link w:val="Heading1Char"/>
    <w:uiPriority w:val="9"/>
    <w:qFormat/>
    <w:rsid w:val="000B65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0B65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65E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B6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E8"/>
    <w:rPr>
      <w:rFonts w:ascii="Tahoma" w:hAnsi="Tahoma" w:cs="Tahoma"/>
      <w:sz w:val="16"/>
      <w:szCs w:val="16"/>
    </w:rPr>
  </w:style>
  <w:style w:type="paragraph" w:styleId="Header">
    <w:name w:val="header"/>
    <w:basedOn w:val="Normal"/>
    <w:link w:val="HeaderChar"/>
    <w:uiPriority w:val="99"/>
    <w:unhideWhenUsed/>
    <w:rsid w:val="000B6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5E8"/>
  </w:style>
  <w:style w:type="paragraph" w:styleId="Footer">
    <w:name w:val="footer"/>
    <w:basedOn w:val="Normal"/>
    <w:link w:val="FooterChar"/>
    <w:uiPriority w:val="99"/>
    <w:semiHidden/>
    <w:unhideWhenUsed/>
    <w:rsid w:val="000B65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65E8"/>
  </w:style>
  <w:style w:type="paragraph" w:styleId="BodyText">
    <w:name w:val="Body Text"/>
    <w:basedOn w:val="Normal"/>
    <w:link w:val="BodyTextChar"/>
    <w:rsid w:val="000B65E8"/>
    <w:pPr>
      <w:spacing w:line="240" w:lineRule="exact"/>
    </w:pPr>
    <w:rPr>
      <w:rFonts w:ascii="Tahoma" w:eastAsia="Times New Roman" w:hAnsi="Tahoma" w:cs="Times New Roman"/>
      <w:spacing w:val="10"/>
      <w:sz w:val="17"/>
      <w:szCs w:val="20"/>
    </w:rPr>
  </w:style>
  <w:style w:type="character" w:customStyle="1" w:styleId="BodyTextChar">
    <w:name w:val="Body Text Char"/>
    <w:basedOn w:val="DefaultParagraphFont"/>
    <w:link w:val="BodyText"/>
    <w:rsid w:val="000B65E8"/>
    <w:rPr>
      <w:rFonts w:ascii="Tahoma" w:eastAsia="Times New Roman" w:hAnsi="Tahoma" w:cs="Times New Roman"/>
      <w:spacing w:val="10"/>
      <w:sz w:val="17"/>
      <w:szCs w:val="20"/>
    </w:rPr>
  </w:style>
  <w:style w:type="character" w:customStyle="1" w:styleId="Heading3Char">
    <w:name w:val="Heading 3 Char"/>
    <w:basedOn w:val="DefaultParagraphFont"/>
    <w:link w:val="Heading3"/>
    <w:uiPriority w:val="9"/>
    <w:rsid w:val="000B65E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B65E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nhideWhenUsed/>
    <w:rsid w:val="000B65E8"/>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0B65E8"/>
    <w:rPr>
      <w:rFonts w:eastAsiaTheme="minorEastAsia"/>
      <w:sz w:val="20"/>
      <w:szCs w:val="20"/>
    </w:rPr>
  </w:style>
  <w:style w:type="character" w:styleId="FootnoteReference">
    <w:name w:val="footnote reference"/>
    <w:basedOn w:val="DefaultParagraphFont"/>
    <w:uiPriority w:val="99"/>
    <w:semiHidden/>
    <w:unhideWhenUsed/>
    <w:rsid w:val="000B65E8"/>
    <w:rPr>
      <w:vertAlign w:val="superscript"/>
    </w:rPr>
  </w:style>
  <w:style w:type="table" w:customStyle="1" w:styleId="LightShading-Accent111">
    <w:name w:val="Light Shading - Accent 111"/>
    <w:basedOn w:val="TableNormal"/>
    <w:uiPriority w:val="60"/>
    <w:rsid w:val="000B65E8"/>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C5F1E"/>
    <w:pPr>
      <w:spacing w:after="0" w:line="240" w:lineRule="auto"/>
      <w:ind w:left="720"/>
    </w:pPr>
    <w:rPr>
      <w:rFonts w:ascii="Times New Roman" w:eastAsiaTheme="minorEastAsia" w:hAnsi="Times New Roman" w:cs="Times New Roman"/>
      <w:sz w:val="24"/>
      <w:szCs w:val="24"/>
    </w:rPr>
  </w:style>
  <w:style w:type="table" w:styleId="TableGrid">
    <w:name w:val="Table Grid"/>
    <w:basedOn w:val="TableNormal"/>
    <w:uiPriority w:val="59"/>
    <w:rsid w:val="002C5F1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C0"/>
  </w:style>
  <w:style w:type="paragraph" w:styleId="Heading1">
    <w:name w:val="heading 1"/>
    <w:basedOn w:val="Normal"/>
    <w:next w:val="Normal"/>
    <w:link w:val="Heading1Char"/>
    <w:uiPriority w:val="9"/>
    <w:qFormat/>
    <w:rsid w:val="000B65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0B65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65E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B6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E8"/>
    <w:rPr>
      <w:rFonts w:ascii="Tahoma" w:hAnsi="Tahoma" w:cs="Tahoma"/>
      <w:sz w:val="16"/>
      <w:szCs w:val="16"/>
    </w:rPr>
  </w:style>
  <w:style w:type="paragraph" w:styleId="Header">
    <w:name w:val="header"/>
    <w:basedOn w:val="Normal"/>
    <w:link w:val="HeaderChar"/>
    <w:uiPriority w:val="99"/>
    <w:unhideWhenUsed/>
    <w:rsid w:val="000B6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5E8"/>
  </w:style>
  <w:style w:type="paragraph" w:styleId="Footer">
    <w:name w:val="footer"/>
    <w:basedOn w:val="Normal"/>
    <w:link w:val="FooterChar"/>
    <w:uiPriority w:val="99"/>
    <w:semiHidden/>
    <w:unhideWhenUsed/>
    <w:rsid w:val="000B65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65E8"/>
  </w:style>
  <w:style w:type="paragraph" w:styleId="BodyText">
    <w:name w:val="Body Text"/>
    <w:basedOn w:val="Normal"/>
    <w:link w:val="BodyTextChar"/>
    <w:rsid w:val="000B65E8"/>
    <w:pPr>
      <w:spacing w:line="240" w:lineRule="exact"/>
    </w:pPr>
    <w:rPr>
      <w:rFonts w:ascii="Tahoma" w:eastAsia="Times New Roman" w:hAnsi="Tahoma" w:cs="Times New Roman"/>
      <w:spacing w:val="10"/>
      <w:sz w:val="17"/>
      <w:szCs w:val="20"/>
    </w:rPr>
  </w:style>
  <w:style w:type="character" w:customStyle="1" w:styleId="BodyTextChar">
    <w:name w:val="Body Text Char"/>
    <w:basedOn w:val="DefaultParagraphFont"/>
    <w:link w:val="BodyText"/>
    <w:rsid w:val="000B65E8"/>
    <w:rPr>
      <w:rFonts w:ascii="Tahoma" w:eastAsia="Times New Roman" w:hAnsi="Tahoma" w:cs="Times New Roman"/>
      <w:spacing w:val="10"/>
      <w:sz w:val="17"/>
      <w:szCs w:val="20"/>
    </w:rPr>
  </w:style>
  <w:style w:type="character" w:customStyle="1" w:styleId="Heading3Char">
    <w:name w:val="Heading 3 Char"/>
    <w:basedOn w:val="DefaultParagraphFont"/>
    <w:link w:val="Heading3"/>
    <w:uiPriority w:val="9"/>
    <w:rsid w:val="000B65E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B65E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nhideWhenUsed/>
    <w:rsid w:val="000B65E8"/>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0B65E8"/>
    <w:rPr>
      <w:rFonts w:eastAsiaTheme="minorEastAsia"/>
      <w:sz w:val="20"/>
      <w:szCs w:val="20"/>
    </w:rPr>
  </w:style>
  <w:style w:type="character" w:styleId="FootnoteReference">
    <w:name w:val="footnote reference"/>
    <w:basedOn w:val="DefaultParagraphFont"/>
    <w:uiPriority w:val="99"/>
    <w:semiHidden/>
    <w:unhideWhenUsed/>
    <w:rsid w:val="000B65E8"/>
    <w:rPr>
      <w:vertAlign w:val="superscript"/>
    </w:rPr>
  </w:style>
  <w:style w:type="table" w:customStyle="1" w:styleId="LightShading-Accent111">
    <w:name w:val="Light Shading - Accent 111"/>
    <w:basedOn w:val="TableNormal"/>
    <w:uiPriority w:val="60"/>
    <w:rsid w:val="000B65E8"/>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C5F1E"/>
    <w:pPr>
      <w:spacing w:after="0" w:line="240" w:lineRule="auto"/>
      <w:ind w:left="720"/>
    </w:pPr>
    <w:rPr>
      <w:rFonts w:ascii="Times New Roman" w:eastAsiaTheme="minorEastAsia" w:hAnsi="Times New Roman" w:cs="Times New Roman"/>
      <w:sz w:val="24"/>
      <w:szCs w:val="24"/>
    </w:rPr>
  </w:style>
  <w:style w:type="table" w:styleId="TableGrid">
    <w:name w:val="Table Grid"/>
    <w:basedOn w:val="TableNormal"/>
    <w:uiPriority w:val="59"/>
    <w:rsid w:val="002C5F1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1877</Words>
  <Characters>10703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Hammer</dc:creator>
  <cp:lastModifiedBy>Christina Murphy</cp:lastModifiedBy>
  <cp:revision>2</cp:revision>
  <dcterms:created xsi:type="dcterms:W3CDTF">2013-03-08T19:34:00Z</dcterms:created>
  <dcterms:modified xsi:type="dcterms:W3CDTF">2013-03-08T19:34:00Z</dcterms:modified>
</cp:coreProperties>
</file>